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CA6" w:rsidRDefault="00E14CA6" w:rsidP="00E14CA6">
      <w:pPr>
        <w:spacing w:line="240" w:lineRule="auto"/>
        <w:jc w:val="both"/>
        <w:rPr>
          <w:rFonts w:ascii="Arial" w:eastAsia="Calibri" w:hAnsi="Arial" w:cs="Arial"/>
          <w:bCs/>
        </w:rPr>
      </w:pPr>
      <w:r w:rsidRPr="006E580F">
        <w:rPr>
          <w:rFonts w:ascii="Arial" w:eastAsia="Calibri" w:hAnsi="Arial" w:cs="Arial"/>
          <w:bCs/>
        </w:rPr>
        <w:t>En cumplimiento a los dispuesto en los artículos</w:t>
      </w:r>
      <w:r>
        <w:rPr>
          <w:rFonts w:ascii="Arial" w:eastAsia="Calibri" w:hAnsi="Arial" w:cs="Arial"/>
          <w:bCs/>
        </w:rPr>
        <w:t xml:space="preserve"> </w:t>
      </w:r>
      <w:r w:rsidRPr="006E580F">
        <w:rPr>
          <w:rFonts w:ascii="Arial" w:eastAsia="Calibri" w:hAnsi="Arial" w:cs="Arial"/>
          <w:bCs/>
        </w:rPr>
        <w:t>1, 2, 82 y 90 de la Constitución Política del Estado Libre y Soberano de Oaxaca vigente; 1, 3 fracción I, 26, 27 fracción XII, 45 fracciones I</w:t>
      </w:r>
      <w:r w:rsidR="00A02A90">
        <w:rPr>
          <w:rFonts w:ascii="Arial" w:eastAsia="Calibri" w:hAnsi="Arial" w:cs="Arial"/>
          <w:bCs/>
        </w:rPr>
        <w:t>, XIV, XV</w:t>
      </w:r>
      <w:r w:rsidRPr="006E580F">
        <w:rPr>
          <w:rFonts w:ascii="Arial" w:eastAsia="Calibri" w:hAnsi="Arial" w:cs="Arial"/>
          <w:bCs/>
        </w:rPr>
        <w:t xml:space="preserve"> y LI</w:t>
      </w:r>
      <w:r w:rsidR="008957DD">
        <w:rPr>
          <w:rFonts w:ascii="Arial" w:eastAsia="Calibri" w:hAnsi="Arial" w:cs="Arial"/>
          <w:bCs/>
        </w:rPr>
        <w:t>X</w:t>
      </w:r>
      <w:r w:rsidRPr="006E580F">
        <w:rPr>
          <w:rFonts w:ascii="Arial" w:eastAsia="Calibri" w:hAnsi="Arial" w:cs="Arial"/>
          <w:bCs/>
        </w:rPr>
        <w:t xml:space="preserve"> de la Ley </w:t>
      </w:r>
      <w:r>
        <w:rPr>
          <w:rFonts w:ascii="Arial" w:eastAsia="Calibri" w:hAnsi="Arial" w:cs="Arial"/>
          <w:bCs/>
        </w:rPr>
        <w:t>O</w:t>
      </w:r>
      <w:r w:rsidRPr="006E580F">
        <w:rPr>
          <w:rFonts w:ascii="Arial" w:eastAsia="Calibri" w:hAnsi="Arial" w:cs="Arial"/>
          <w:bCs/>
        </w:rPr>
        <w:t xml:space="preserve">rgánica del Poder Ejecutivo del Estado de Oaxaca vigente; </w:t>
      </w:r>
      <w:r w:rsidRPr="006E580F">
        <w:rPr>
          <w:rFonts w:ascii="Arial" w:eastAsia="Calibri" w:hAnsi="Arial" w:cs="Arial"/>
          <w:bCs/>
          <w:color w:val="000000" w:themeColor="text1"/>
        </w:rPr>
        <w:t>1, 2, 4 fracción 1, 5,</w:t>
      </w:r>
      <w:r w:rsidR="00B03918">
        <w:rPr>
          <w:rFonts w:ascii="Arial" w:eastAsia="Calibri" w:hAnsi="Arial" w:cs="Arial"/>
          <w:bCs/>
          <w:color w:val="000000" w:themeColor="text1"/>
        </w:rPr>
        <w:t xml:space="preserve"> 6, fracción V</w:t>
      </w:r>
      <w:r w:rsidRPr="006E580F">
        <w:rPr>
          <w:rFonts w:ascii="Arial" w:eastAsia="Calibri" w:hAnsi="Arial" w:cs="Arial"/>
          <w:bCs/>
          <w:color w:val="000000" w:themeColor="text1"/>
        </w:rPr>
        <w:t xml:space="preserve"> </w:t>
      </w:r>
      <w:r w:rsidRPr="006E580F">
        <w:rPr>
          <w:rFonts w:ascii="Arial" w:eastAsia="Calibri" w:hAnsi="Arial" w:cs="Arial"/>
          <w:bCs/>
        </w:rPr>
        <w:t xml:space="preserve">del Reglamento Interno de la Secretaria de Finanzas del Poder Ejecutivo del Estado vigente, y </w:t>
      </w:r>
    </w:p>
    <w:p w:rsidR="00E14CA6" w:rsidRPr="00E14CA6" w:rsidRDefault="00E14CA6" w:rsidP="00E14CA6">
      <w:pPr>
        <w:spacing w:line="240" w:lineRule="auto"/>
        <w:jc w:val="both"/>
        <w:rPr>
          <w:rFonts w:ascii="Arial" w:eastAsia="Calibri" w:hAnsi="Arial" w:cs="Arial"/>
          <w:bCs/>
        </w:rPr>
      </w:pPr>
    </w:p>
    <w:p w:rsidR="00E14CA6" w:rsidRDefault="00E14CA6" w:rsidP="00E14CA6">
      <w:pPr>
        <w:jc w:val="center"/>
        <w:rPr>
          <w:rFonts w:ascii="Arial" w:hAnsi="Arial" w:cs="Arial"/>
          <w:b/>
          <w:szCs w:val="21"/>
        </w:rPr>
      </w:pPr>
      <w:r w:rsidRPr="00735968">
        <w:rPr>
          <w:rFonts w:ascii="Arial" w:hAnsi="Arial" w:cs="Arial"/>
          <w:b/>
          <w:szCs w:val="21"/>
        </w:rPr>
        <w:t xml:space="preserve">CONSIDERANDO </w:t>
      </w:r>
    </w:p>
    <w:p w:rsidR="00880B60" w:rsidRPr="00735968" w:rsidRDefault="00880B60" w:rsidP="00880B60">
      <w:pPr>
        <w:rPr>
          <w:rFonts w:ascii="Arial" w:hAnsi="Arial" w:cs="Arial"/>
          <w:b/>
          <w:szCs w:val="21"/>
        </w:rPr>
      </w:pPr>
    </w:p>
    <w:p w:rsidR="00E14CA6" w:rsidRPr="00E14CA6" w:rsidRDefault="00E14CA6" w:rsidP="00E14CA6">
      <w:pPr>
        <w:jc w:val="both"/>
        <w:rPr>
          <w:rFonts w:ascii="Arial" w:eastAsia="Calibri" w:hAnsi="Arial" w:cs="Arial"/>
          <w:bCs/>
        </w:rPr>
      </w:pPr>
      <w:r w:rsidRPr="00E14CA6">
        <w:rPr>
          <w:rFonts w:ascii="Arial" w:eastAsia="Calibri" w:hAnsi="Arial" w:cs="Arial"/>
          <w:bCs/>
        </w:rPr>
        <w:t>Que el Congreso del Estado aprobó el 28 de diciembre de 2018 el Decreto de Presupuesto de Egresos del Estado de Oaxaca para el ejercicio fiscal 2019, en el cual se especifica el monto y el destino de los recursos económicos que el Gobierno requiere para obtener los resultados comprometidos y demandados por los diversos sectores de la sociedad.</w:t>
      </w:r>
    </w:p>
    <w:p w:rsidR="00E14CA6" w:rsidRPr="00E14CA6" w:rsidRDefault="00E14CA6" w:rsidP="00E14CA6">
      <w:pPr>
        <w:jc w:val="both"/>
        <w:rPr>
          <w:rFonts w:ascii="Arial" w:eastAsia="Calibri" w:hAnsi="Arial" w:cs="Arial"/>
          <w:bCs/>
        </w:rPr>
      </w:pPr>
      <w:r w:rsidRPr="00E14CA6">
        <w:rPr>
          <w:rFonts w:ascii="Arial" w:eastAsia="Calibri" w:hAnsi="Arial" w:cs="Arial"/>
          <w:bCs/>
        </w:rPr>
        <w:t>Que en el Anexo 6 del Decreto de Presupuesto de Egresos del Estado de Oaxaca para el ejercicio fiscal 2019, correspondiente a asignaciones presupuestarias, se otorgó un monto de</w:t>
      </w:r>
      <w:r w:rsidR="00E72147">
        <w:rPr>
          <w:rFonts w:ascii="Arial" w:eastAsia="Calibri" w:hAnsi="Arial" w:cs="Arial"/>
          <w:bCs/>
        </w:rPr>
        <w:t xml:space="preserve"> inversión</w:t>
      </w:r>
      <w:r w:rsidR="00670130">
        <w:rPr>
          <w:rFonts w:ascii="Arial" w:eastAsia="Calibri" w:hAnsi="Arial" w:cs="Arial"/>
          <w:bCs/>
        </w:rPr>
        <w:t xml:space="preserve"> de</w:t>
      </w:r>
      <w:r w:rsidRPr="00E14CA6">
        <w:rPr>
          <w:rFonts w:ascii="Arial" w:eastAsia="Calibri" w:hAnsi="Arial" w:cs="Arial"/>
          <w:bCs/>
        </w:rPr>
        <w:t xml:space="preserve"> $105,000,000.00 (Ciento cinco millones de pesos 00/100 M.N.) para </w:t>
      </w:r>
      <w:r w:rsidR="00670130">
        <w:rPr>
          <w:rFonts w:ascii="Arial" w:eastAsia="Calibri" w:hAnsi="Arial" w:cs="Arial"/>
          <w:bCs/>
        </w:rPr>
        <w:t>la Bolsa</w:t>
      </w:r>
      <w:r w:rsidRPr="00E14CA6">
        <w:rPr>
          <w:rFonts w:ascii="Arial" w:eastAsia="Calibri" w:hAnsi="Arial" w:cs="Arial"/>
          <w:bCs/>
        </w:rPr>
        <w:t xml:space="preserve"> para el Fortalecimiento al Campo e Infraestructura Social.</w:t>
      </w:r>
    </w:p>
    <w:p w:rsidR="00E14CA6" w:rsidRPr="00E14CA6" w:rsidRDefault="00E14CA6" w:rsidP="00E14CA6">
      <w:pPr>
        <w:jc w:val="both"/>
        <w:rPr>
          <w:rFonts w:ascii="Arial" w:eastAsia="Calibri" w:hAnsi="Arial" w:cs="Arial"/>
          <w:bCs/>
        </w:rPr>
      </w:pPr>
      <w:r w:rsidRPr="00E14CA6">
        <w:rPr>
          <w:rFonts w:ascii="Arial" w:eastAsia="Calibri" w:hAnsi="Arial" w:cs="Arial"/>
          <w:bCs/>
        </w:rPr>
        <w:t xml:space="preserve">Que </w:t>
      </w:r>
      <w:r w:rsidR="00670130">
        <w:rPr>
          <w:rFonts w:ascii="Arial" w:eastAsia="Calibri" w:hAnsi="Arial" w:cs="Arial"/>
          <w:bCs/>
        </w:rPr>
        <w:t>la Bolsa</w:t>
      </w:r>
      <w:r w:rsidRPr="00E14CA6">
        <w:rPr>
          <w:rFonts w:ascii="Arial" w:eastAsia="Calibri" w:hAnsi="Arial" w:cs="Arial"/>
          <w:bCs/>
        </w:rPr>
        <w:t xml:space="preserve"> para el Fortalecimiento al Campo e Infraestructura Social se alinea a los ejes temáticos siguientes:</w:t>
      </w:r>
    </w:p>
    <w:p w:rsidR="00E14CA6" w:rsidRPr="00E14CA6" w:rsidRDefault="00E14CA6" w:rsidP="0035639D">
      <w:pPr>
        <w:spacing w:after="0"/>
        <w:jc w:val="both"/>
        <w:rPr>
          <w:rFonts w:ascii="Arial" w:eastAsia="Calibri" w:hAnsi="Arial" w:cs="Arial"/>
          <w:bCs/>
        </w:rPr>
      </w:pPr>
      <w:r w:rsidRPr="00E14CA6">
        <w:rPr>
          <w:rFonts w:ascii="Arial" w:eastAsia="Calibri" w:hAnsi="Arial" w:cs="Arial"/>
          <w:bCs/>
        </w:rPr>
        <w:t xml:space="preserve">I. Oaxaca incluyente, </w:t>
      </w:r>
    </w:p>
    <w:p w:rsidR="00E14CA6" w:rsidRPr="00E14CA6" w:rsidRDefault="00E14CA6" w:rsidP="0035639D">
      <w:pPr>
        <w:spacing w:after="0"/>
        <w:jc w:val="both"/>
        <w:rPr>
          <w:rFonts w:ascii="Arial" w:eastAsia="Calibri" w:hAnsi="Arial" w:cs="Arial"/>
          <w:bCs/>
        </w:rPr>
      </w:pPr>
      <w:r w:rsidRPr="00E14CA6">
        <w:rPr>
          <w:rFonts w:ascii="Arial" w:eastAsia="Calibri" w:hAnsi="Arial" w:cs="Arial"/>
          <w:bCs/>
        </w:rPr>
        <w:t xml:space="preserve">IV. Oaxaca productivo e innovador, y </w:t>
      </w:r>
    </w:p>
    <w:p w:rsidR="00E14CA6" w:rsidRPr="00E14CA6" w:rsidRDefault="00E14CA6" w:rsidP="00E14CA6">
      <w:pPr>
        <w:jc w:val="both"/>
        <w:rPr>
          <w:rFonts w:ascii="Arial" w:eastAsia="Calibri" w:hAnsi="Arial" w:cs="Arial"/>
          <w:bCs/>
        </w:rPr>
      </w:pPr>
      <w:r w:rsidRPr="00E14CA6">
        <w:rPr>
          <w:rFonts w:ascii="Arial" w:eastAsia="Calibri" w:hAnsi="Arial" w:cs="Arial"/>
          <w:bCs/>
        </w:rPr>
        <w:t xml:space="preserve">V. Oaxaca Sustentable; </w:t>
      </w:r>
    </w:p>
    <w:p w:rsidR="00E14CA6" w:rsidRPr="00E14CA6" w:rsidRDefault="00E14CA6" w:rsidP="00E14CA6">
      <w:pPr>
        <w:jc w:val="both"/>
        <w:rPr>
          <w:rFonts w:ascii="Arial" w:eastAsia="Calibri" w:hAnsi="Arial" w:cs="Arial"/>
          <w:bCs/>
        </w:rPr>
      </w:pPr>
      <w:r>
        <w:rPr>
          <w:rFonts w:ascii="Arial" w:eastAsia="Calibri" w:hAnsi="Arial" w:cs="Arial"/>
          <w:bCs/>
        </w:rPr>
        <w:t xml:space="preserve">Los ejes enunciados </w:t>
      </w:r>
      <w:r w:rsidRPr="00E14CA6">
        <w:rPr>
          <w:rFonts w:ascii="Arial" w:eastAsia="Calibri" w:hAnsi="Arial" w:cs="Arial"/>
          <w:bCs/>
        </w:rPr>
        <w:t xml:space="preserve">plantean, respectivamente: </w:t>
      </w:r>
      <w:r>
        <w:rPr>
          <w:rFonts w:ascii="Arial" w:eastAsia="Calibri" w:hAnsi="Arial" w:cs="Arial"/>
          <w:bCs/>
        </w:rPr>
        <w:t xml:space="preserve">la </w:t>
      </w:r>
      <w:r w:rsidRPr="00E14CA6">
        <w:rPr>
          <w:rFonts w:ascii="Arial" w:eastAsia="Calibri" w:hAnsi="Arial" w:cs="Arial"/>
          <w:bCs/>
        </w:rPr>
        <w:t>igualdad de oportunidades que garanticen una mejor calidad de vida, y garantizar el acceso a los derechos social</w:t>
      </w:r>
      <w:r w:rsidR="00D13294">
        <w:rPr>
          <w:rFonts w:ascii="Arial" w:eastAsia="Calibri" w:hAnsi="Arial" w:cs="Arial"/>
          <w:bCs/>
        </w:rPr>
        <w:t xml:space="preserve">es y la seguridad alimentaria; </w:t>
      </w:r>
      <w:r w:rsidRPr="00E14CA6">
        <w:rPr>
          <w:rFonts w:ascii="Arial" w:eastAsia="Calibri" w:hAnsi="Arial" w:cs="Arial"/>
          <w:bCs/>
        </w:rPr>
        <w:t xml:space="preserve">potenciar e impulsar el desarrollo del </w:t>
      </w:r>
      <w:r>
        <w:rPr>
          <w:rFonts w:ascii="Arial" w:eastAsia="Calibri" w:hAnsi="Arial" w:cs="Arial"/>
          <w:bCs/>
        </w:rPr>
        <w:t>E</w:t>
      </w:r>
      <w:r w:rsidRPr="00E14CA6">
        <w:rPr>
          <w:rFonts w:ascii="Arial" w:eastAsia="Calibri" w:hAnsi="Arial" w:cs="Arial"/>
          <w:bCs/>
        </w:rPr>
        <w:t>stado en todos los sectores, aprovechando las vocaciones productivas de cada región; aprovechar las riquezas naturales y culturales del territorio de manera consciente, inteligente y sostenible, para mejorar la calidad de vida de las y los oaxaqueños; los cuales están contenidos en el Plan Estatal de Desarrollo 2016-2022, publicado en el Periódico Oficial del Gobierno del Estado el 19 de agosto  de 2017.</w:t>
      </w:r>
    </w:p>
    <w:p w:rsidR="00E14CA6" w:rsidRDefault="00E14CA6" w:rsidP="00E14CA6">
      <w:pPr>
        <w:jc w:val="both"/>
        <w:rPr>
          <w:rFonts w:ascii="Arial" w:eastAsia="Calibri" w:hAnsi="Arial" w:cs="Arial"/>
          <w:bCs/>
        </w:rPr>
      </w:pPr>
      <w:r w:rsidRPr="00E14CA6">
        <w:rPr>
          <w:rFonts w:ascii="Arial" w:eastAsia="Calibri" w:hAnsi="Arial" w:cs="Arial"/>
          <w:bCs/>
        </w:rPr>
        <w:t xml:space="preserve">Que resulta necesario contar con criterios claros y ágiles de observancia obligatoria en materia de asignación, aplicación, erogación, seguimiento, control, rendición de cuentas y transparencia de los recursos, mismos que serán de observancia obligatoria para las Dependencias, Entidades, Municipios y demás instancias en calidad de </w:t>
      </w:r>
      <w:r w:rsidR="003A6A62">
        <w:rPr>
          <w:rFonts w:ascii="Arial" w:eastAsia="Calibri" w:hAnsi="Arial" w:cs="Arial"/>
          <w:bCs/>
        </w:rPr>
        <w:t>E</w:t>
      </w:r>
      <w:r w:rsidRPr="00E14CA6">
        <w:rPr>
          <w:rFonts w:ascii="Arial" w:eastAsia="Calibri" w:hAnsi="Arial" w:cs="Arial"/>
          <w:bCs/>
        </w:rPr>
        <w:t>jecutor</w:t>
      </w:r>
      <w:r w:rsidR="003A6A62">
        <w:rPr>
          <w:rFonts w:ascii="Arial" w:eastAsia="Calibri" w:hAnsi="Arial" w:cs="Arial"/>
          <w:bCs/>
        </w:rPr>
        <w:t>a</w:t>
      </w:r>
      <w:r w:rsidRPr="00E14CA6">
        <w:rPr>
          <w:rFonts w:ascii="Arial" w:eastAsia="Calibri" w:hAnsi="Arial" w:cs="Arial"/>
          <w:bCs/>
        </w:rPr>
        <w:t>s de</w:t>
      </w:r>
      <w:r w:rsidR="00D13294">
        <w:rPr>
          <w:rFonts w:ascii="Arial" w:eastAsia="Calibri" w:hAnsi="Arial" w:cs="Arial"/>
          <w:bCs/>
        </w:rPr>
        <w:t>l</w:t>
      </w:r>
      <w:r w:rsidRPr="00E14CA6">
        <w:rPr>
          <w:rFonts w:ascii="Arial" w:eastAsia="Calibri" w:hAnsi="Arial" w:cs="Arial"/>
          <w:bCs/>
        </w:rPr>
        <w:t xml:space="preserve"> gasto materializado en un documento técnico-normativo.</w:t>
      </w:r>
    </w:p>
    <w:p w:rsidR="00880B60" w:rsidRPr="00E14CA6" w:rsidRDefault="00880B60" w:rsidP="00E14CA6">
      <w:pPr>
        <w:jc w:val="both"/>
        <w:rPr>
          <w:rFonts w:ascii="Arial" w:eastAsia="Calibri" w:hAnsi="Arial" w:cs="Arial"/>
          <w:bCs/>
        </w:rPr>
      </w:pPr>
    </w:p>
    <w:p w:rsidR="0015492D" w:rsidRDefault="00E14CA6" w:rsidP="00E14CA6">
      <w:pPr>
        <w:jc w:val="both"/>
        <w:rPr>
          <w:rFonts w:ascii="Arial" w:eastAsia="Calibri" w:hAnsi="Arial" w:cs="Arial"/>
          <w:bCs/>
        </w:rPr>
      </w:pPr>
      <w:r w:rsidRPr="00E14CA6">
        <w:rPr>
          <w:rFonts w:ascii="Arial" w:eastAsia="Calibri" w:hAnsi="Arial" w:cs="Arial"/>
          <w:bCs/>
        </w:rPr>
        <w:t xml:space="preserve">Por lo que </w:t>
      </w:r>
      <w:r w:rsidR="0015492D">
        <w:rPr>
          <w:rFonts w:ascii="Arial" w:eastAsia="Calibri" w:hAnsi="Arial" w:cs="Arial"/>
          <w:bCs/>
        </w:rPr>
        <w:t>en atención a lo expuesto, se expiden las presentes:</w:t>
      </w:r>
    </w:p>
    <w:p w:rsidR="0015492D" w:rsidRDefault="0015492D" w:rsidP="00E14CA6">
      <w:pPr>
        <w:jc w:val="both"/>
        <w:rPr>
          <w:rFonts w:ascii="Arial" w:eastAsia="Calibri" w:hAnsi="Arial" w:cs="Arial"/>
          <w:bCs/>
        </w:rPr>
      </w:pPr>
    </w:p>
    <w:p w:rsidR="00880B60" w:rsidRDefault="00880B60" w:rsidP="00E14CA6">
      <w:pPr>
        <w:jc w:val="both"/>
        <w:rPr>
          <w:rFonts w:ascii="Arial" w:eastAsia="Calibri" w:hAnsi="Arial" w:cs="Arial"/>
          <w:bCs/>
        </w:rPr>
      </w:pPr>
    </w:p>
    <w:p w:rsidR="0015492D" w:rsidRPr="0015492D" w:rsidRDefault="00E14CA6" w:rsidP="0015492D">
      <w:pPr>
        <w:spacing w:after="0" w:line="240" w:lineRule="auto"/>
        <w:jc w:val="center"/>
        <w:rPr>
          <w:rFonts w:ascii="Arial" w:eastAsia="Calibri" w:hAnsi="Arial" w:cs="Arial"/>
          <w:b/>
          <w:bCs/>
        </w:rPr>
      </w:pPr>
      <w:r w:rsidRPr="0015492D">
        <w:rPr>
          <w:rFonts w:ascii="Arial" w:eastAsia="Calibri" w:hAnsi="Arial" w:cs="Arial"/>
          <w:b/>
          <w:bCs/>
        </w:rPr>
        <w:lastRenderedPageBreak/>
        <w:t xml:space="preserve">REGLAS DE OPERACIÓN </w:t>
      </w:r>
      <w:r w:rsidR="0015492D" w:rsidRPr="0015492D">
        <w:rPr>
          <w:rFonts w:ascii="Arial" w:eastAsia="Calibri" w:hAnsi="Arial" w:cs="Arial"/>
          <w:b/>
          <w:bCs/>
        </w:rPr>
        <w:t>D</w:t>
      </w:r>
      <w:r w:rsidRPr="0015492D">
        <w:rPr>
          <w:rFonts w:ascii="Arial" w:eastAsia="Calibri" w:hAnsi="Arial" w:cs="Arial"/>
          <w:b/>
          <w:bCs/>
        </w:rPr>
        <w:t>E</w:t>
      </w:r>
      <w:r w:rsidR="00880B60">
        <w:rPr>
          <w:rFonts w:ascii="Arial" w:eastAsia="Calibri" w:hAnsi="Arial" w:cs="Arial"/>
          <w:b/>
          <w:bCs/>
        </w:rPr>
        <w:t xml:space="preserve"> </w:t>
      </w:r>
      <w:r w:rsidRPr="0015492D">
        <w:rPr>
          <w:rFonts w:ascii="Arial" w:eastAsia="Calibri" w:hAnsi="Arial" w:cs="Arial"/>
          <w:b/>
          <w:bCs/>
        </w:rPr>
        <w:t>L</w:t>
      </w:r>
      <w:r w:rsidR="00880B60">
        <w:rPr>
          <w:rFonts w:ascii="Arial" w:eastAsia="Calibri" w:hAnsi="Arial" w:cs="Arial"/>
          <w:b/>
          <w:bCs/>
        </w:rPr>
        <w:t>A BOLSA</w:t>
      </w:r>
      <w:r w:rsidRPr="0015492D">
        <w:rPr>
          <w:rFonts w:ascii="Arial" w:eastAsia="Calibri" w:hAnsi="Arial" w:cs="Arial"/>
          <w:b/>
          <w:bCs/>
        </w:rPr>
        <w:t xml:space="preserve"> </w:t>
      </w:r>
      <w:r w:rsidR="0015492D" w:rsidRPr="0015492D">
        <w:rPr>
          <w:rFonts w:ascii="Arial" w:eastAsia="Calibri" w:hAnsi="Arial" w:cs="Arial"/>
          <w:b/>
          <w:bCs/>
        </w:rPr>
        <w:t xml:space="preserve">PARA </w:t>
      </w:r>
      <w:r w:rsidRPr="0015492D">
        <w:rPr>
          <w:rFonts w:ascii="Arial" w:eastAsia="Calibri" w:hAnsi="Arial" w:cs="Arial"/>
          <w:b/>
          <w:bCs/>
        </w:rPr>
        <w:t>E</w:t>
      </w:r>
      <w:r w:rsidR="0015492D" w:rsidRPr="0015492D">
        <w:rPr>
          <w:rFonts w:ascii="Arial" w:eastAsia="Calibri" w:hAnsi="Arial" w:cs="Arial"/>
          <w:b/>
          <w:bCs/>
        </w:rPr>
        <w:t>L</w:t>
      </w:r>
      <w:r w:rsidRPr="0015492D">
        <w:rPr>
          <w:rFonts w:ascii="Arial" w:eastAsia="Calibri" w:hAnsi="Arial" w:cs="Arial"/>
          <w:b/>
          <w:bCs/>
        </w:rPr>
        <w:t xml:space="preserve"> </w:t>
      </w:r>
    </w:p>
    <w:p w:rsidR="00E14CA6" w:rsidRPr="0015492D" w:rsidRDefault="00E14CA6" w:rsidP="0015492D">
      <w:pPr>
        <w:spacing w:after="0" w:line="240" w:lineRule="auto"/>
        <w:jc w:val="center"/>
        <w:rPr>
          <w:rFonts w:ascii="Arial" w:eastAsia="Calibri" w:hAnsi="Arial" w:cs="Arial"/>
          <w:b/>
          <w:bCs/>
        </w:rPr>
      </w:pPr>
      <w:r w:rsidRPr="0015492D">
        <w:rPr>
          <w:rFonts w:ascii="Arial" w:eastAsia="Calibri" w:hAnsi="Arial" w:cs="Arial"/>
          <w:b/>
          <w:bCs/>
        </w:rPr>
        <w:t>FORTALECIMIENTO AL CAMPO E INFRAESTRUCTURA SOCIAL</w:t>
      </w:r>
    </w:p>
    <w:p w:rsidR="0015492D" w:rsidRDefault="0015492D" w:rsidP="0015492D">
      <w:pPr>
        <w:spacing w:after="0" w:line="240" w:lineRule="auto"/>
        <w:jc w:val="center"/>
        <w:rPr>
          <w:rFonts w:ascii="Arial" w:eastAsia="Calibri" w:hAnsi="Arial" w:cs="Arial"/>
          <w:bCs/>
        </w:rPr>
      </w:pPr>
    </w:p>
    <w:p w:rsidR="00B873A6" w:rsidRPr="00E14CA6" w:rsidRDefault="00B873A6" w:rsidP="0015492D">
      <w:pPr>
        <w:spacing w:after="0" w:line="240" w:lineRule="auto"/>
        <w:jc w:val="center"/>
        <w:rPr>
          <w:rFonts w:ascii="Arial" w:eastAsia="Calibri" w:hAnsi="Arial" w:cs="Arial"/>
          <w:bCs/>
        </w:rPr>
      </w:pPr>
    </w:p>
    <w:p w:rsidR="00E14CA6" w:rsidRPr="00B873A6" w:rsidRDefault="00E14CA6" w:rsidP="00E14CA6">
      <w:pPr>
        <w:spacing w:after="0"/>
        <w:jc w:val="center"/>
        <w:rPr>
          <w:rFonts w:ascii="Arial" w:eastAsia="Calibri" w:hAnsi="Arial" w:cs="Arial"/>
          <w:b/>
          <w:bCs/>
        </w:rPr>
      </w:pPr>
      <w:r w:rsidRPr="00B873A6">
        <w:rPr>
          <w:rFonts w:ascii="Arial" w:eastAsia="Calibri" w:hAnsi="Arial" w:cs="Arial"/>
          <w:b/>
          <w:bCs/>
        </w:rPr>
        <w:t xml:space="preserve">Capítulo I </w:t>
      </w:r>
    </w:p>
    <w:p w:rsidR="00E14CA6" w:rsidRPr="00735968" w:rsidRDefault="00E14CA6" w:rsidP="00E14CA6">
      <w:pPr>
        <w:spacing w:after="0"/>
        <w:jc w:val="center"/>
        <w:rPr>
          <w:rFonts w:ascii="Arial" w:eastAsia="Calibri" w:hAnsi="Arial" w:cs="Arial"/>
          <w:b/>
          <w:bCs/>
        </w:rPr>
      </w:pPr>
      <w:r w:rsidRPr="00B873A6">
        <w:rPr>
          <w:rFonts w:ascii="Arial" w:eastAsia="Calibri" w:hAnsi="Arial" w:cs="Arial"/>
          <w:b/>
          <w:bCs/>
        </w:rPr>
        <w:t>Dispos</w:t>
      </w:r>
      <w:r w:rsidRPr="00735968">
        <w:rPr>
          <w:rFonts w:ascii="Arial" w:eastAsia="Calibri" w:hAnsi="Arial" w:cs="Arial"/>
          <w:b/>
          <w:bCs/>
        </w:rPr>
        <w:t xml:space="preserve">iciones </w:t>
      </w:r>
      <w:r w:rsidR="00735968">
        <w:rPr>
          <w:rFonts w:ascii="Arial" w:eastAsia="Calibri" w:hAnsi="Arial" w:cs="Arial"/>
          <w:b/>
          <w:bCs/>
        </w:rPr>
        <w:t>G</w:t>
      </w:r>
      <w:r w:rsidRPr="00735968">
        <w:rPr>
          <w:rFonts w:ascii="Arial" w:eastAsia="Calibri" w:hAnsi="Arial" w:cs="Arial"/>
          <w:b/>
          <w:bCs/>
        </w:rPr>
        <w:t>enerales</w:t>
      </w:r>
    </w:p>
    <w:p w:rsidR="00E14CA6" w:rsidRPr="00E14CA6" w:rsidRDefault="00E14CA6" w:rsidP="00E14CA6">
      <w:pPr>
        <w:spacing w:after="0"/>
        <w:jc w:val="center"/>
        <w:rPr>
          <w:rFonts w:ascii="Arial" w:eastAsia="Calibri" w:hAnsi="Arial" w:cs="Arial"/>
          <w:bCs/>
        </w:rPr>
      </w:pPr>
    </w:p>
    <w:p w:rsidR="00E14CA6" w:rsidRPr="00E14CA6" w:rsidRDefault="00E14CA6" w:rsidP="00E14CA6">
      <w:pPr>
        <w:pStyle w:val="Prrafodelista"/>
        <w:numPr>
          <w:ilvl w:val="0"/>
          <w:numId w:val="1"/>
        </w:numPr>
        <w:ind w:left="284" w:hanging="284"/>
        <w:jc w:val="both"/>
        <w:rPr>
          <w:rFonts w:ascii="Arial" w:eastAsia="Calibri" w:hAnsi="Arial" w:cs="Arial"/>
          <w:bCs/>
          <w:sz w:val="22"/>
          <w:szCs w:val="22"/>
          <w:lang w:eastAsia="en-US"/>
        </w:rPr>
      </w:pPr>
      <w:r w:rsidRPr="00E14CA6">
        <w:rPr>
          <w:rFonts w:ascii="Arial" w:eastAsia="Calibri" w:hAnsi="Arial" w:cs="Arial"/>
          <w:bCs/>
          <w:sz w:val="22"/>
          <w:szCs w:val="22"/>
          <w:lang w:eastAsia="en-US"/>
        </w:rPr>
        <w:t>Se establecen criterios para la autorización, aplicación, seguimiento, control, rendición de cuentas y transparencia de los recursos correspondientes a</w:t>
      </w:r>
      <w:r w:rsidR="00A05E58">
        <w:rPr>
          <w:rFonts w:ascii="Arial" w:eastAsia="Calibri" w:hAnsi="Arial" w:cs="Arial"/>
          <w:bCs/>
          <w:sz w:val="22"/>
          <w:szCs w:val="22"/>
          <w:lang w:eastAsia="en-US"/>
        </w:rPr>
        <w:t xml:space="preserve"> </w:t>
      </w:r>
      <w:r w:rsidRPr="00E14CA6">
        <w:rPr>
          <w:rFonts w:ascii="Arial" w:eastAsia="Calibri" w:hAnsi="Arial" w:cs="Arial"/>
          <w:bCs/>
          <w:sz w:val="22"/>
          <w:szCs w:val="22"/>
          <w:lang w:eastAsia="en-US"/>
        </w:rPr>
        <w:t>l</w:t>
      </w:r>
      <w:r w:rsidR="00A05E58">
        <w:rPr>
          <w:rFonts w:ascii="Arial" w:eastAsia="Calibri" w:hAnsi="Arial" w:cs="Arial"/>
          <w:bCs/>
          <w:sz w:val="22"/>
          <w:szCs w:val="22"/>
          <w:lang w:eastAsia="en-US"/>
        </w:rPr>
        <w:t>a Bolsa</w:t>
      </w:r>
      <w:r w:rsidRPr="00E14CA6">
        <w:rPr>
          <w:rFonts w:ascii="Arial" w:eastAsia="Calibri" w:hAnsi="Arial" w:cs="Arial"/>
          <w:bCs/>
          <w:sz w:val="22"/>
          <w:szCs w:val="22"/>
          <w:lang w:eastAsia="en-US"/>
        </w:rPr>
        <w:t xml:space="preserve"> para el Fortalecimiento al Campo e Infraestructura Social, los cuales tienen el carácter de recursos públicos</w:t>
      </w:r>
      <w:r w:rsidR="00A05E58">
        <w:rPr>
          <w:rFonts w:ascii="Arial" w:eastAsia="Calibri" w:hAnsi="Arial" w:cs="Arial"/>
          <w:bCs/>
          <w:sz w:val="22"/>
          <w:szCs w:val="22"/>
          <w:lang w:eastAsia="en-US"/>
        </w:rPr>
        <w:t xml:space="preserve"> estatales</w:t>
      </w:r>
      <w:r w:rsidRPr="00E14CA6">
        <w:rPr>
          <w:rFonts w:ascii="Arial" w:eastAsia="Calibri" w:hAnsi="Arial" w:cs="Arial"/>
          <w:bCs/>
          <w:sz w:val="22"/>
          <w:szCs w:val="22"/>
          <w:lang w:eastAsia="en-US"/>
        </w:rPr>
        <w:t>, que se destinarán a los Proyectos de Inversión</w:t>
      </w:r>
      <w:r w:rsidR="00A05E58">
        <w:rPr>
          <w:rFonts w:ascii="Arial" w:eastAsia="Calibri" w:hAnsi="Arial" w:cs="Arial"/>
          <w:bCs/>
          <w:sz w:val="22"/>
          <w:szCs w:val="22"/>
          <w:lang w:eastAsia="en-US"/>
        </w:rPr>
        <w:t xml:space="preserve"> Pública</w:t>
      </w:r>
      <w:r w:rsidRPr="00E14CA6">
        <w:rPr>
          <w:rFonts w:ascii="Arial" w:eastAsia="Calibri" w:hAnsi="Arial" w:cs="Arial"/>
          <w:bCs/>
          <w:sz w:val="22"/>
          <w:szCs w:val="22"/>
          <w:lang w:eastAsia="en-US"/>
        </w:rPr>
        <w:t>.</w:t>
      </w:r>
    </w:p>
    <w:p w:rsidR="00E14CA6" w:rsidRPr="00E14CA6" w:rsidRDefault="00E14CA6" w:rsidP="00E14CA6">
      <w:pPr>
        <w:pStyle w:val="Prrafodelista"/>
        <w:ind w:left="284"/>
        <w:jc w:val="both"/>
        <w:rPr>
          <w:rFonts w:ascii="Arial" w:eastAsia="Calibri" w:hAnsi="Arial" w:cs="Arial"/>
          <w:bCs/>
          <w:sz w:val="22"/>
          <w:szCs w:val="22"/>
          <w:lang w:eastAsia="en-US"/>
        </w:rPr>
      </w:pPr>
    </w:p>
    <w:p w:rsidR="00E14CA6" w:rsidRPr="00E14CA6" w:rsidRDefault="00E14CA6" w:rsidP="00E14CA6">
      <w:pPr>
        <w:pStyle w:val="Prrafodelista"/>
        <w:ind w:left="284"/>
        <w:jc w:val="both"/>
        <w:rPr>
          <w:rFonts w:ascii="Arial" w:eastAsia="Calibri" w:hAnsi="Arial" w:cs="Arial"/>
          <w:bCs/>
          <w:sz w:val="22"/>
          <w:szCs w:val="22"/>
          <w:lang w:eastAsia="en-US"/>
        </w:rPr>
      </w:pPr>
      <w:r w:rsidRPr="00E14CA6">
        <w:rPr>
          <w:rFonts w:ascii="Arial" w:eastAsia="Calibri" w:hAnsi="Arial" w:cs="Arial"/>
          <w:bCs/>
          <w:sz w:val="22"/>
          <w:szCs w:val="22"/>
          <w:lang w:eastAsia="en-US"/>
        </w:rPr>
        <w:t>El patrimonio de</w:t>
      </w:r>
      <w:r w:rsidR="00A05E58">
        <w:rPr>
          <w:rFonts w:ascii="Arial" w:eastAsia="Calibri" w:hAnsi="Arial" w:cs="Arial"/>
          <w:bCs/>
          <w:sz w:val="22"/>
          <w:szCs w:val="22"/>
          <w:lang w:eastAsia="en-US"/>
        </w:rPr>
        <w:t xml:space="preserve"> </w:t>
      </w:r>
      <w:r w:rsidRPr="00E14CA6">
        <w:rPr>
          <w:rFonts w:ascii="Arial" w:eastAsia="Calibri" w:hAnsi="Arial" w:cs="Arial"/>
          <w:bCs/>
          <w:sz w:val="22"/>
          <w:szCs w:val="22"/>
          <w:lang w:eastAsia="en-US"/>
        </w:rPr>
        <w:t>l</w:t>
      </w:r>
      <w:r w:rsidR="00A05E58">
        <w:rPr>
          <w:rFonts w:ascii="Arial" w:eastAsia="Calibri" w:hAnsi="Arial" w:cs="Arial"/>
          <w:bCs/>
          <w:sz w:val="22"/>
          <w:szCs w:val="22"/>
          <w:lang w:eastAsia="en-US"/>
        </w:rPr>
        <w:t>a Bolsa</w:t>
      </w:r>
      <w:r w:rsidRPr="00E14CA6">
        <w:rPr>
          <w:rFonts w:ascii="Arial" w:eastAsia="Calibri" w:hAnsi="Arial" w:cs="Arial"/>
          <w:bCs/>
          <w:sz w:val="22"/>
          <w:szCs w:val="22"/>
          <w:lang w:eastAsia="en-US"/>
        </w:rPr>
        <w:t xml:space="preserve"> para el Fortalecimiento al Campo e Infraestructura Social para el ejercicio fiscal 2019 se constituye por un monto de hasta $105</w:t>
      </w:r>
      <w:proofErr w:type="gramStart"/>
      <w:r w:rsidRPr="00E14CA6">
        <w:rPr>
          <w:rFonts w:ascii="Arial" w:eastAsia="Calibri" w:hAnsi="Arial" w:cs="Arial"/>
          <w:bCs/>
          <w:sz w:val="22"/>
          <w:szCs w:val="22"/>
          <w:lang w:eastAsia="en-US"/>
        </w:rPr>
        <w:t>,000,000.00</w:t>
      </w:r>
      <w:proofErr w:type="gramEnd"/>
      <w:r w:rsidRPr="00E14CA6">
        <w:rPr>
          <w:rFonts w:ascii="Arial" w:eastAsia="Calibri" w:hAnsi="Arial" w:cs="Arial"/>
          <w:bCs/>
          <w:sz w:val="22"/>
          <w:szCs w:val="22"/>
          <w:lang w:eastAsia="en-US"/>
        </w:rPr>
        <w:t xml:space="preserve"> (Ciento cinco millones de pesos 00/100 M.N.)</w:t>
      </w:r>
    </w:p>
    <w:p w:rsidR="00E14CA6" w:rsidRPr="00E14CA6" w:rsidRDefault="00E14CA6" w:rsidP="00E14CA6">
      <w:pPr>
        <w:pStyle w:val="Prrafodelista"/>
        <w:ind w:left="284"/>
        <w:jc w:val="both"/>
        <w:rPr>
          <w:rFonts w:ascii="Arial" w:eastAsia="Calibri" w:hAnsi="Arial" w:cs="Arial"/>
          <w:bCs/>
          <w:sz w:val="22"/>
          <w:szCs w:val="22"/>
          <w:lang w:eastAsia="en-US"/>
        </w:rPr>
      </w:pPr>
    </w:p>
    <w:p w:rsidR="00E14CA6" w:rsidRPr="00E14CA6" w:rsidRDefault="00A05E58" w:rsidP="00E14CA6">
      <w:pPr>
        <w:pStyle w:val="Prrafodelista"/>
        <w:numPr>
          <w:ilvl w:val="0"/>
          <w:numId w:val="1"/>
        </w:numPr>
        <w:ind w:left="284" w:hanging="284"/>
        <w:jc w:val="both"/>
        <w:rPr>
          <w:rFonts w:ascii="Arial" w:eastAsia="Calibri" w:hAnsi="Arial" w:cs="Arial"/>
          <w:bCs/>
          <w:sz w:val="22"/>
          <w:szCs w:val="22"/>
          <w:lang w:eastAsia="en-US"/>
        </w:rPr>
      </w:pPr>
      <w:r>
        <w:rPr>
          <w:rFonts w:ascii="Arial" w:eastAsia="Calibri" w:hAnsi="Arial" w:cs="Arial"/>
          <w:bCs/>
          <w:sz w:val="22"/>
          <w:szCs w:val="22"/>
          <w:lang w:eastAsia="en-US"/>
        </w:rPr>
        <w:t>La Bolsa</w:t>
      </w:r>
      <w:r w:rsidR="00E14CA6" w:rsidRPr="00E14CA6">
        <w:rPr>
          <w:rFonts w:ascii="Arial" w:eastAsia="Calibri" w:hAnsi="Arial" w:cs="Arial"/>
          <w:bCs/>
          <w:sz w:val="22"/>
          <w:szCs w:val="22"/>
          <w:lang w:eastAsia="en-US"/>
        </w:rPr>
        <w:t xml:space="preserve"> para el Fortalecimiento al Campo e Infraestructura Social tiene por objeto financiar Proyectos de Inversión Pública que permitan abatir el rezago del campo y propiciar el desarrollo de infraestructura social que genere, en el primer caso, mayores capacidades productivas, y en el segundo, una mejora en el nivel de vida de la población.</w:t>
      </w:r>
    </w:p>
    <w:p w:rsidR="00E14CA6" w:rsidRPr="00E14CA6" w:rsidRDefault="00E14CA6" w:rsidP="00E14CA6">
      <w:pPr>
        <w:pStyle w:val="Prrafodelista"/>
        <w:ind w:left="284"/>
        <w:jc w:val="both"/>
        <w:rPr>
          <w:rFonts w:ascii="Arial" w:eastAsia="Calibri" w:hAnsi="Arial" w:cs="Arial"/>
          <w:bCs/>
          <w:sz w:val="22"/>
          <w:szCs w:val="22"/>
          <w:lang w:eastAsia="en-US"/>
        </w:rPr>
      </w:pPr>
    </w:p>
    <w:p w:rsidR="00E14CA6" w:rsidRPr="00E14CA6" w:rsidRDefault="00E14CA6" w:rsidP="00E14CA6">
      <w:pPr>
        <w:pStyle w:val="Prrafodelista"/>
        <w:numPr>
          <w:ilvl w:val="0"/>
          <w:numId w:val="1"/>
        </w:numPr>
        <w:ind w:left="284" w:hanging="284"/>
        <w:jc w:val="both"/>
        <w:rPr>
          <w:rFonts w:ascii="Arial" w:eastAsia="Calibri" w:hAnsi="Arial" w:cs="Arial"/>
          <w:bCs/>
          <w:sz w:val="22"/>
          <w:szCs w:val="22"/>
          <w:lang w:eastAsia="en-US"/>
        </w:rPr>
      </w:pPr>
      <w:r w:rsidRPr="00E14CA6">
        <w:rPr>
          <w:rFonts w:ascii="Arial" w:eastAsia="Calibri" w:hAnsi="Arial" w:cs="Arial"/>
          <w:bCs/>
          <w:sz w:val="22"/>
          <w:szCs w:val="22"/>
          <w:lang w:eastAsia="en-US"/>
        </w:rPr>
        <w:t>Las disposiciones contenidas en las presentes Reglas de Operación son de observancia obligatoria para las Dependencias, Entidades, Municipios, Organismos Públicos Descentralizados y demás instancias, que soliciten recursos de</w:t>
      </w:r>
      <w:r w:rsidR="00A05E58">
        <w:rPr>
          <w:rFonts w:ascii="Arial" w:eastAsia="Calibri" w:hAnsi="Arial" w:cs="Arial"/>
          <w:bCs/>
          <w:sz w:val="22"/>
          <w:szCs w:val="22"/>
          <w:lang w:eastAsia="en-US"/>
        </w:rPr>
        <w:t xml:space="preserve"> </w:t>
      </w:r>
      <w:r w:rsidRPr="00E14CA6">
        <w:rPr>
          <w:rFonts w:ascii="Arial" w:eastAsia="Calibri" w:hAnsi="Arial" w:cs="Arial"/>
          <w:bCs/>
          <w:sz w:val="22"/>
          <w:szCs w:val="22"/>
          <w:lang w:eastAsia="en-US"/>
        </w:rPr>
        <w:t>l</w:t>
      </w:r>
      <w:r w:rsidR="00A05E58">
        <w:rPr>
          <w:rFonts w:ascii="Arial" w:eastAsia="Calibri" w:hAnsi="Arial" w:cs="Arial"/>
          <w:bCs/>
          <w:sz w:val="22"/>
          <w:szCs w:val="22"/>
          <w:lang w:eastAsia="en-US"/>
        </w:rPr>
        <w:t>a Bolsa</w:t>
      </w:r>
      <w:r w:rsidRPr="00E14CA6">
        <w:rPr>
          <w:rFonts w:ascii="Arial" w:eastAsia="Calibri" w:hAnsi="Arial" w:cs="Arial"/>
          <w:bCs/>
          <w:sz w:val="22"/>
          <w:szCs w:val="22"/>
          <w:lang w:eastAsia="en-US"/>
        </w:rPr>
        <w:t xml:space="preserve"> para el Fortalecimiento al Campo e Infraestructura Social, así como para aquéllos a los que se les autoricen.</w:t>
      </w:r>
    </w:p>
    <w:p w:rsidR="00E14CA6" w:rsidRPr="00E14CA6" w:rsidRDefault="00E14CA6" w:rsidP="00DA7B90">
      <w:pPr>
        <w:spacing w:after="0"/>
        <w:jc w:val="both"/>
        <w:rPr>
          <w:rFonts w:ascii="Arial" w:eastAsia="Calibri" w:hAnsi="Arial" w:cs="Arial"/>
          <w:bCs/>
        </w:rPr>
      </w:pPr>
    </w:p>
    <w:p w:rsidR="00E14CA6" w:rsidRPr="00A05E58" w:rsidRDefault="00E14CA6" w:rsidP="00E14CA6">
      <w:pPr>
        <w:pStyle w:val="Prrafodelista"/>
        <w:numPr>
          <w:ilvl w:val="0"/>
          <w:numId w:val="1"/>
        </w:numPr>
        <w:ind w:left="284" w:hanging="284"/>
        <w:jc w:val="both"/>
        <w:rPr>
          <w:rFonts w:ascii="Arial" w:eastAsia="Calibri" w:hAnsi="Arial" w:cs="Arial"/>
          <w:b/>
          <w:bCs/>
          <w:sz w:val="22"/>
          <w:szCs w:val="22"/>
          <w:u w:val="single"/>
          <w:lang w:eastAsia="en-US"/>
        </w:rPr>
      </w:pPr>
      <w:r w:rsidRPr="00E14CA6">
        <w:rPr>
          <w:rFonts w:ascii="Arial" w:eastAsia="Calibri" w:hAnsi="Arial" w:cs="Arial"/>
          <w:bCs/>
          <w:sz w:val="22"/>
          <w:szCs w:val="22"/>
          <w:lang w:eastAsia="en-US"/>
        </w:rPr>
        <w:t xml:space="preserve">Los proyectos de Inversión Pública que participen para ser financiados con cargo </w:t>
      </w:r>
      <w:r w:rsidR="00A05E58">
        <w:rPr>
          <w:rFonts w:ascii="Arial" w:eastAsia="Calibri" w:hAnsi="Arial" w:cs="Arial"/>
          <w:bCs/>
          <w:sz w:val="22"/>
          <w:szCs w:val="22"/>
          <w:lang w:eastAsia="en-US"/>
        </w:rPr>
        <w:t>de la Bolsa</w:t>
      </w:r>
      <w:r w:rsidRPr="00E14CA6">
        <w:rPr>
          <w:rFonts w:ascii="Arial" w:eastAsia="Calibri" w:hAnsi="Arial" w:cs="Arial"/>
          <w:bCs/>
          <w:sz w:val="22"/>
          <w:szCs w:val="22"/>
          <w:lang w:eastAsia="en-US"/>
        </w:rPr>
        <w:t xml:space="preserve"> para el Fortalecimiento al Campo e Infraestructura Social para el ejercicio fiscal 2019, deberán estar dictaminados en el sistema del Banco de Proyectos</w:t>
      </w:r>
      <w:r w:rsidR="00A05E58">
        <w:rPr>
          <w:rFonts w:ascii="Arial" w:eastAsia="Calibri" w:hAnsi="Arial" w:cs="Arial"/>
          <w:bCs/>
          <w:sz w:val="22"/>
          <w:szCs w:val="22"/>
          <w:lang w:eastAsia="en-US"/>
        </w:rPr>
        <w:t>,</w:t>
      </w:r>
      <w:r w:rsidR="00DA7B90">
        <w:rPr>
          <w:rFonts w:ascii="Arial" w:eastAsia="Calibri" w:hAnsi="Arial" w:cs="Arial"/>
          <w:bCs/>
          <w:sz w:val="22"/>
          <w:szCs w:val="22"/>
          <w:lang w:eastAsia="en-US"/>
        </w:rPr>
        <w:t xml:space="preserve"> en términos de lo</w:t>
      </w:r>
      <w:r w:rsidRPr="00A05E58">
        <w:rPr>
          <w:rFonts w:ascii="Arial" w:eastAsia="Calibri" w:hAnsi="Arial" w:cs="Arial"/>
          <w:bCs/>
          <w:sz w:val="22"/>
          <w:szCs w:val="22"/>
          <w:lang w:eastAsia="en-US"/>
        </w:rPr>
        <w:t xml:space="preserve"> establecido en el</w:t>
      </w:r>
      <w:r w:rsidR="00A05E58" w:rsidRPr="00A05E58">
        <w:rPr>
          <w:rFonts w:ascii="Arial" w:eastAsia="Calibri" w:hAnsi="Arial" w:cs="Arial"/>
          <w:bCs/>
          <w:sz w:val="22"/>
          <w:szCs w:val="22"/>
          <w:lang w:eastAsia="en-US"/>
        </w:rPr>
        <w:t xml:space="preserve"> artículo noveno </w:t>
      </w:r>
      <w:r w:rsidRPr="00A05E58">
        <w:rPr>
          <w:rFonts w:ascii="Arial" w:eastAsia="Calibri" w:hAnsi="Arial" w:cs="Arial"/>
          <w:bCs/>
          <w:sz w:val="22"/>
          <w:szCs w:val="22"/>
          <w:lang w:eastAsia="en-US"/>
        </w:rPr>
        <w:t>transitorio del Decreto de Presupuesto de Egresos del Estado de Oaxaca para el ejercicio fiscal 2019.</w:t>
      </w:r>
    </w:p>
    <w:p w:rsidR="00E14CA6" w:rsidRPr="00A05E58" w:rsidRDefault="00E14CA6" w:rsidP="00E14CA6">
      <w:pPr>
        <w:jc w:val="both"/>
        <w:rPr>
          <w:rFonts w:ascii="Arial" w:eastAsia="Calibri" w:hAnsi="Arial" w:cs="Arial"/>
          <w:bCs/>
        </w:rPr>
      </w:pPr>
    </w:p>
    <w:p w:rsidR="00E14CA6" w:rsidRPr="00E14CA6" w:rsidRDefault="00E14CA6" w:rsidP="00E14CA6">
      <w:pPr>
        <w:pStyle w:val="Prrafodelista"/>
        <w:numPr>
          <w:ilvl w:val="0"/>
          <w:numId w:val="1"/>
        </w:numPr>
        <w:ind w:left="284" w:hanging="284"/>
        <w:jc w:val="both"/>
        <w:rPr>
          <w:rFonts w:ascii="Arial" w:eastAsia="Calibri" w:hAnsi="Arial" w:cs="Arial"/>
          <w:bCs/>
          <w:sz w:val="22"/>
          <w:szCs w:val="22"/>
          <w:lang w:eastAsia="en-US"/>
        </w:rPr>
      </w:pPr>
      <w:r w:rsidRPr="00E14CA6">
        <w:rPr>
          <w:rFonts w:ascii="Arial" w:eastAsia="Calibri" w:hAnsi="Arial" w:cs="Arial"/>
          <w:bCs/>
          <w:sz w:val="22"/>
          <w:szCs w:val="22"/>
          <w:lang w:eastAsia="en-US"/>
        </w:rPr>
        <w:t xml:space="preserve">Para efectos del registro en el Banco de Proyectos, las </w:t>
      </w:r>
      <w:r w:rsidR="00427D59">
        <w:rPr>
          <w:rFonts w:ascii="Arial" w:eastAsia="Calibri" w:hAnsi="Arial" w:cs="Arial"/>
          <w:bCs/>
          <w:sz w:val="22"/>
          <w:szCs w:val="22"/>
          <w:lang w:eastAsia="en-US"/>
        </w:rPr>
        <w:t>E</w:t>
      </w:r>
      <w:r w:rsidRPr="00E14CA6">
        <w:rPr>
          <w:rFonts w:ascii="Arial" w:eastAsia="Calibri" w:hAnsi="Arial" w:cs="Arial"/>
          <w:bCs/>
          <w:sz w:val="22"/>
          <w:szCs w:val="22"/>
          <w:lang w:eastAsia="en-US"/>
        </w:rPr>
        <w:t>jecutoras</w:t>
      </w:r>
      <w:r w:rsidR="00427D59">
        <w:rPr>
          <w:rFonts w:ascii="Arial" w:eastAsia="Calibri" w:hAnsi="Arial" w:cs="Arial"/>
          <w:bCs/>
          <w:sz w:val="22"/>
          <w:szCs w:val="22"/>
          <w:lang w:eastAsia="en-US"/>
        </w:rPr>
        <w:t xml:space="preserve"> del gasto</w:t>
      </w:r>
      <w:r w:rsidRPr="00E14CA6">
        <w:rPr>
          <w:rFonts w:ascii="Arial" w:eastAsia="Calibri" w:hAnsi="Arial" w:cs="Arial"/>
          <w:bCs/>
          <w:sz w:val="22"/>
          <w:szCs w:val="22"/>
          <w:lang w:eastAsia="en-US"/>
        </w:rPr>
        <w:t xml:space="preserve"> podrán asistirse de la Guía para la </w:t>
      </w:r>
      <w:r w:rsidR="003C0168">
        <w:rPr>
          <w:rFonts w:ascii="Arial" w:eastAsia="Calibri" w:hAnsi="Arial" w:cs="Arial"/>
          <w:bCs/>
          <w:sz w:val="22"/>
          <w:szCs w:val="22"/>
          <w:lang w:eastAsia="en-US"/>
        </w:rPr>
        <w:t>F</w:t>
      </w:r>
      <w:r w:rsidRPr="00E14CA6">
        <w:rPr>
          <w:rFonts w:ascii="Arial" w:eastAsia="Calibri" w:hAnsi="Arial" w:cs="Arial"/>
          <w:bCs/>
          <w:sz w:val="22"/>
          <w:szCs w:val="22"/>
          <w:lang w:eastAsia="en-US"/>
        </w:rPr>
        <w:t xml:space="preserve">ormulación y </w:t>
      </w:r>
      <w:r w:rsidR="003C0168">
        <w:rPr>
          <w:rFonts w:ascii="Arial" w:eastAsia="Calibri" w:hAnsi="Arial" w:cs="Arial"/>
          <w:bCs/>
          <w:sz w:val="22"/>
          <w:szCs w:val="22"/>
          <w:lang w:eastAsia="en-US"/>
        </w:rPr>
        <w:t>P</w:t>
      </w:r>
      <w:r w:rsidRPr="00E14CA6">
        <w:rPr>
          <w:rFonts w:ascii="Arial" w:eastAsia="Calibri" w:hAnsi="Arial" w:cs="Arial"/>
          <w:bCs/>
          <w:sz w:val="22"/>
          <w:szCs w:val="22"/>
          <w:lang w:eastAsia="en-US"/>
        </w:rPr>
        <w:t xml:space="preserve">resentación de </w:t>
      </w:r>
      <w:r w:rsidR="003C0168">
        <w:rPr>
          <w:rFonts w:ascii="Arial" w:eastAsia="Calibri" w:hAnsi="Arial" w:cs="Arial"/>
          <w:bCs/>
          <w:sz w:val="22"/>
          <w:szCs w:val="22"/>
          <w:lang w:eastAsia="en-US"/>
        </w:rPr>
        <w:t>P</w:t>
      </w:r>
      <w:r w:rsidRPr="00E14CA6">
        <w:rPr>
          <w:rFonts w:ascii="Arial" w:eastAsia="Calibri" w:hAnsi="Arial" w:cs="Arial"/>
          <w:bCs/>
          <w:sz w:val="22"/>
          <w:szCs w:val="22"/>
          <w:lang w:eastAsia="en-US"/>
        </w:rPr>
        <w:t>royectos y Programas de Inversión, misma que se encuentra disponible en el portal oficial de la Secretaría de Finanzas.</w:t>
      </w:r>
    </w:p>
    <w:p w:rsidR="00E14CA6" w:rsidRPr="00E14CA6" w:rsidRDefault="00E14CA6" w:rsidP="00E14CA6">
      <w:pPr>
        <w:jc w:val="both"/>
        <w:rPr>
          <w:rFonts w:ascii="Arial" w:eastAsia="Calibri" w:hAnsi="Arial" w:cs="Arial"/>
          <w:bCs/>
        </w:rPr>
      </w:pPr>
    </w:p>
    <w:p w:rsidR="00E14CA6" w:rsidRPr="00E14CA6" w:rsidRDefault="00E14CA6" w:rsidP="00E14CA6">
      <w:pPr>
        <w:pStyle w:val="Prrafodelista"/>
        <w:numPr>
          <w:ilvl w:val="0"/>
          <w:numId w:val="1"/>
        </w:numPr>
        <w:ind w:left="284" w:hanging="284"/>
        <w:jc w:val="both"/>
        <w:rPr>
          <w:rFonts w:ascii="Arial" w:eastAsia="Calibri" w:hAnsi="Arial" w:cs="Arial"/>
          <w:bCs/>
          <w:sz w:val="22"/>
          <w:szCs w:val="22"/>
          <w:lang w:eastAsia="en-US"/>
        </w:rPr>
      </w:pPr>
      <w:r w:rsidRPr="00E14CA6">
        <w:rPr>
          <w:rFonts w:ascii="Arial" w:eastAsia="Calibri" w:hAnsi="Arial" w:cs="Arial"/>
          <w:bCs/>
          <w:sz w:val="22"/>
          <w:szCs w:val="22"/>
          <w:lang w:eastAsia="en-US"/>
        </w:rPr>
        <w:t>Corresponde a la S</w:t>
      </w:r>
      <w:r w:rsidR="00A05E58">
        <w:rPr>
          <w:rFonts w:ascii="Arial" w:eastAsia="Calibri" w:hAnsi="Arial" w:cs="Arial"/>
          <w:bCs/>
          <w:sz w:val="22"/>
          <w:szCs w:val="22"/>
          <w:lang w:eastAsia="en-US"/>
        </w:rPr>
        <w:t xml:space="preserve">ubsecretaría de Planeación e Inversión Pública, </w:t>
      </w:r>
      <w:r w:rsidRPr="00E14CA6">
        <w:rPr>
          <w:rFonts w:ascii="Arial" w:eastAsia="Calibri" w:hAnsi="Arial" w:cs="Arial"/>
          <w:bCs/>
          <w:sz w:val="22"/>
          <w:szCs w:val="22"/>
          <w:lang w:eastAsia="en-US"/>
        </w:rPr>
        <w:t>la interpretación de las presentes Reglas de Operación, así como resolver los casos no previst</w:t>
      </w:r>
      <w:r w:rsidR="0089172D">
        <w:rPr>
          <w:rFonts w:ascii="Arial" w:eastAsia="Calibri" w:hAnsi="Arial" w:cs="Arial"/>
          <w:bCs/>
          <w:sz w:val="22"/>
          <w:szCs w:val="22"/>
          <w:lang w:eastAsia="en-US"/>
        </w:rPr>
        <w:t>o</w:t>
      </w:r>
      <w:r w:rsidRPr="00E14CA6">
        <w:rPr>
          <w:rFonts w:ascii="Arial" w:eastAsia="Calibri" w:hAnsi="Arial" w:cs="Arial"/>
          <w:bCs/>
          <w:sz w:val="22"/>
          <w:szCs w:val="22"/>
          <w:lang w:eastAsia="en-US"/>
        </w:rPr>
        <w:t>s en las mismas.</w:t>
      </w:r>
    </w:p>
    <w:p w:rsidR="00E14CA6" w:rsidRPr="00E14CA6" w:rsidRDefault="00E14CA6" w:rsidP="00E14CA6">
      <w:pPr>
        <w:jc w:val="both"/>
        <w:rPr>
          <w:rFonts w:ascii="Arial" w:eastAsia="Calibri" w:hAnsi="Arial" w:cs="Arial"/>
          <w:bCs/>
        </w:rPr>
      </w:pPr>
    </w:p>
    <w:p w:rsidR="00E14CA6" w:rsidRPr="00E14CA6" w:rsidRDefault="00E14CA6" w:rsidP="00E14CA6">
      <w:pPr>
        <w:pStyle w:val="Prrafodelista"/>
        <w:numPr>
          <w:ilvl w:val="0"/>
          <w:numId w:val="1"/>
        </w:numPr>
        <w:ind w:left="284" w:hanging="284"/>
        <w:jc w:val="both"/>
        <w:rPr>
          <w:rFonts w:ascii="Arial" w:eastAsia="Calibri" w:hAnsi="Arial" w:cs="Arial"/>
          <w:bCs/>
          <w:sz w:val="22"/>
          <w:szCs w:val="22"/>
          <w:lang w:eastAsia="en-US"/>
        </w:rPr>
      </w:pPr>
      <w:r w:rsidRPr="00E14CA6">
        <w:rPr>
          <w:rFonts w:ascii="Arial" w:eastAsia="Calibri" w:hAnsi="Arial" w:cs="Arial"/>
          <w:bCs/>
          <w:sz w:val="22"/>
          <w:szCs w:val="22"/>
          <w:lang w:eastAsia="en-US"/>
        </w:rPr>
        <w:t>La operación de</w:t>
      </w:r>
      <w:r w:rsidR="002C3EDA">
        <w:rPr>
          <w:rFonts w:ascii="Arial" w:eastAsia="Calibri" w:hAnsi="Arial" w:cs="Arial"/>
          <w:bCs/>
          <w:sz w:val="22"/>
          <w:szCs w:val="22"/>
          <w:lang w:eastAsia="en-US"/>
        </w:rPr>
        <w:t xml:space="preserve"> </w:t>
      </w:r>
      <w:r w:rsidRPr="00E14CA6">
        <w:rPr>
          <w:rFonts w:ascii="Arial" w:eastAsia="Calibri" w:hAnsi="Arial" w:cs="Arial"/>
          <w:bCs/>
          <w:sz w:val="22"/>
          <w:szCs w:val="22"/>
          <w:lang w:eastAsia="en-US"/>
        </w:rPr>
        <w:t>l</w:t>
      </w:r>
      <w:r w:rsidR="002C3EDA">
        <w:rPr>
          <w:rFonts w:ascii="Arial" w:eastAsia="Calibri" w:hAnsi="Arial" w:cs="Arial"/>
          <w:bCs/>
          <w:sz w:val="22"/>
          <w:szCs w:val="22"/>
          <w:lang w:eastAsia="en-US"/>
        </w:rPr>
        <w:t>a Bolsa</w:t>
      </w:r>
      <w:r w:rsidRPr="00E14CA6">
        <w:rPr>
          <w:rFonts w:ascii="Arial" w:eastAsia="Calibri" w:hAnsi="Arial" w:cs="Arial"/>
          <w:bCs/>
          <w:sz w:val="22"/>
          <w:szCs w:val="22"/>
          <w:lang w:eastAsia="en-US"/>
        </w:rPr>
        <w:t xml:space="preserve"> para el Fortalecimiento al Campo e Infraestructura Social se regirá por lo dispuesto en las presentes Reglas de Operación.</w:t>
      </w:r>
    </w:p>
    <w:p w:rsidR="00E14CA6" w:rsidRPr="00E14CA6" w:rsidRDefault="00E14CA6" w:rsidP="00E14CA6">
      <w:pPr>
        <w:jc w:val="both"/>
        <w:rPr>
          <w:rFonts w:ascii="Arial" w:eastAsia="Calibri" w:hAnsi="Arial" w:cs="Arial"/>
          <w:bCs/>
        </w:rPr>
      </w:pPr>
    </w:p>
    <w:p w:rsidR="00E14CA6" w:rsidRDefault="00E14CA6" w:rsidP="00E14CA6">
      <w:pPr>
        <w:pStyle w:val="Prrafodelista"/>
        <w:numPr>
          <w:ilvl w:val="0"/>
          <w:numId w:val="1"/>
        </w:numPr>
        <w:ind w:left="284" w:hanging="284"/>
        <w:jc w:val="both"/>
        <w:rPr>
          <w:rFonts w:ascii="Arial" w:eastAsia="Calibri" w:hAnsi="Arial" w:cs="Arial"/>
          <w:bCs/>
          <w:sz w:val="22"/>
          <w:szCs w:val="22"/>
          <w:lang w:eastAsia="en-US"/>
        </w:rPr>
      </w:pPr>
      <w:r w:rsidRPr="00E14CA6">
        <w:rPr>
          <w:rFonts w:ascii="Arial" w:eastAsia="Calibri" w:hAnsi="Arial" w:cs="Arial"/>
          <w:bCs/>
          <w:sz w:val="22"/>
          <w:szCs w:val="22"/>
          <w:lang w:eastAsia="en-US"/>
        </w:rPr>
        <w:lastRenderedPageBreak/>
        <w:t>El registro en el Banco de Proyectos no representa obligación que comprometa a autorizar o pagar los recursos solicitados, ya que estarán sujetos a la revisión técnica, priorización y a la suficiencia presupuestaria de la que se disponga.</w:t>
      </w:r>
    </w:p>
    <w:p w:rsidR="000E482B" w:rsidRPr="000E482B" w:rsidRDefault="000E482B" w:rsidP="00780C15">
      <w:pPr>
        <w:pStyle w:val="Prrafodelista"/>
        <w:spacing w:after="240"/>
        <w:rPr>
          <w:rFonts w:ascii="Arial" w:eastAsia="Calibri" w:hAnsi="Arial" w:cs="Arial"/>
          <w:bCs/>
          <w:sz w:val="22"/>
          <w:szCs w:val="22"/>
          <w:lang w:eastAsia="en-US"/>
        </w:rPr>
      </w:pPr>
    </w:p>
    <w:p w:rsidR="000E482B" w:rsidRPr="00E14CA6" w:rsidRDefault="000E482B" w:rsidP="00E14CA6">
      <w:pPr>
        <w:pStyle w:val="Prrafodelista"/>
        <w:numPr>
          <w:ilvl w:val="0"/>
          <w:numId w:val="1"/>
        </w:numPr>
        <w:ind w:left="284" w:hanging="284"/>
        <w:jc w:val="both"/>
        <w:rPr>
          <w:rFonts w:ascii="Arial" w:eastAsia="Calibri" w:hAnsi="Arial" w:cs="Arial"/>
          <w:bCs/>
          <w:sz w:val="22"/>
          <w:szCs w:val="22"/>
          <w:lang w:eastAsia="en-US"/>
        </w:rPr>
      </w:pPr>
      <w:r>
        <w:rPr>
          <w:rFonts w:ascii="Arial" w:eastAsia="Calibri" w:hAnsi="Arial" w:cs="Arial"/>
          <w:bCs/>
          <w:sz w:val="22"/>
          <w:szCs w:val="22"/>
          <w:lang w:eastAsia="en-US"/>
        </w:rPr>
        <w:t>Todos los trámites a que se refieren las presentes Reglas deberán g</w:t>
      </w:r>
      <w:r w:rsidR="006F2E08">
        <w:rPr>
          <w:rFonts w:ascii="Arial" w:eastAsia="Calibri" w:hAnsi="Arial" w:cs="Arial"/>
          <w:bCs/>
          <w:sz w:val="22"/>
          <w:szCs w:val="22"/>
          <w:lang w:eastAsia="en-US"/>
        </w:rPr>
        <w:t xml:space="preserve">estionarse directamente por servidores públicos, sin intermediación de terceros o gestores particulares. </w:t>
      </w:r>
    </w:p>
    <w:p w:rsidR="00E14CA6" w:rsidRPr="00E14CA6" w:rsidRDefault="00E14CA6" w:rsidP="00E14CA6">
      <w:pPr>
        <w:jc w:val="both"/>
        <w:rPr>
          <w:rFonts w:ascii="Arial" w:eastAsia="Calibri" w:hAnsi="Arial" w:cs="Arial"/>
          <w:bCs/>
        </w:rPr>
      </w:pPr>
      <w:bookmarkStart w:id="0" w:name="_GoBack"/>
      <w:bookmarkEnd w:id="0"/>
    </w:p>
    <w:p w:rsidR="00E14CA6" w:rsidRPr="00B873A6" w:rsidRDefault="00E14CA6" w:rsidP="00E14CA6">
      <w:pPr>
        <w:pStyle w:val="Prrafodelista"/>
        <w:ind w:left="284"/>
        <w:jc w:val="center"/>
        <w:rPr>
          <w:rFonts w:ascii="Arial" w:eastAsia="Calibri" w:hAnsi="Arial" w:cs="Arial"/>
          <w:b/>
          <w:bCs/>
          <w:sz w:val="22"/>
          <w:szCs w:val="22"/>
          <w:lang w:eastAsia="en-US"/>
        </w:rPr>
      </w:pPr>
      <w:r w:rsidRPr="00B873A6">
        <w:rPr>
          <w:rFonts w:ascii="Arial" w:eastAsia="Calibri" w:hAnsi="Arial" w:cs="Arial"/>
          <w:b/>
          <w:bCs/>
          <w:sz w:val="22"/>
          <w:szCs w:val="22"/>
          <w:lang w:eastAsia="en-US"/>
        </w:rPr>
        <w:t>Capítulo II</w:t>
      </w:r>
    </w:p>
    <w:p w:rsidR="00E14CA6" w:rsidRPr="00B873A6" w:rsidRDefault="00E14CA6" w:rsidP="00E14CA6">
      <w:pPr>
        <w:pStyle w:val="Prrafodelista"/>
        <w:ind w:left="284"/>
        <w:jc w:val="center"/>
        <w:rPr>
          <w:rFonts w:ascii="Arial" w:eastAsia="Calibri" w:hAnsi="Arial" w:cs="Arial"/>
          <w:b/>
          <w:bCs/>
          <w:sz w:val="22"/>
          <w:szCs w:val="22"/>
          <w:lang w:eastAsia="en-US"/>
        </w:rPr>
      </w:pPr>
      <w:r w:rsidRPr="00B873A6">
        <w:rPr>
          <w:rFonts w:ascii="Arial" w:eastAsia="Calibri" w:hAnsi="Arial" w:cs="Arial"/>
          <w:b/>
          <w:bCs/>
          <w:sz w:val="22"/>
          <w:szCs w:val="22"/>
          <w:lang w:eastAsia="en-US"/>
        </w:rPr>
        <w:t>Definiciones</w:t>
      </w:r>
    </w:p>
    <w:p w:rsidR="00E14CA6" w:rsidRPr="00E14CA6" w:rsidRDefault="00E14CA6" w:rsidP="009C1D0E">
      <w:pPr>
        <w:pStyle w:val="Prrafodelista"/>
        <w:spacing w:after="240"/>
        <w:ind w:left="284"/>
        <w:jc w:val="center"/>
        <w:rPr>
          <w:rFonts w:ascii="Arial" w:eastAsia="Calibri" w:hAnsi="Arial" w:cs="Arial"/>
          <w:bCs/>
          <w:sz w:val="22"/>
          <w:szCs w:val="22"/>
          <w:lang w:eastAsia="en-US"/>
        </w:rPr>
      </w:pPr>
    </w:p>
    <w:p w:rsidR="00E14CA6" w:rsidRPr="00E14CA6" w:rsidRDefault="00E14CA6" w:rsidP="00E14CA6">
      <w:pPr>
        <w:pStyle w:val="Prrafodelista"/>
        <w:numPr>
          <w:ilvl w:val="0"/>
          <w:numId w:val="1"/>
        </w:numPr>
        <w:ind w:left="284" w:hanging="284"/>
        <w:rPr>
          <w:rFonts w:ascii="Arial" w:eastAsia="Calibri" w:hAnsi="Arial" w:cs="Arial"/>
          <w:bCs/>
          <w:sz w:val="22"/>
          <w:szCs w:val="22"/>
          <w:lang w:eastAsia="en-US"/>
        </w:rPr>
      </w:pPr>
      <w:r w:rsidRPr="00E14CA6">
        <w:rPr>
          <w:rFonts w:ascii="Arial" w:eastAsia="Calibri" w:hAnsi="Arial" w:cs="Arial"/>
          <w:bCs/>
          <w:sz w:val="22"/>
          <w:szCs w:val="22"/>
          <w:lang w:eastAsia="en-US"/>
        </w:rPr>
        <w:t xml:space="preserve"> Para efectos de las presentes Reglas de Operación se entenderá por:</w:t>
      </w:r>
    </w:p>
    <w:p w:rsidR="00E14CA6" w:rsidRPr="00E14CA6" w:rsidRDefault="00E14CA6" w:rsidP="00E14CA6">
      <w:pPr>
        <w:pStyle w:val="Prrafodelista"/>
        <w:ind w:left="720"/>
        <w:rPr>
          <w:rFonts w:ascii="Arial" w:eastAsia="Calibri" w:hAnsi="Arial" w:cs="Arial"/>
          <w:bCs/>
          <w:sz w:val="22"/>
          <w:szCs w:val="22"/>
          <w:lang w:eastAsia="en-US"/>
        </w:rPr>
      </w:pPr>
    </w:p>
    <w:p w:rsidR="00E14CA6" w:rsidRDefault="00E14CA6" w:rsidP="00E14CA6">
      <w:pPr>
        <w:pStyle w:val="Prrafodelista"/>
        <w:numPr>
          <w:ilvl w:val="0"/>
          <w:numId w:val="2"/>
        </w:numPr>
        <w:ind w:left="851" w:hanging="284"/>
        <w:jc w:val="both"/>
        <w:rPr>
          <w:rFonts w:ascii="Arial" w:eastAsia="Calibri" w:hAnsi="Arial" w:cs="Arial"/>
          <w:bCs/>
          <w:sz w:val="22"/>
          <w:szCs w:val="22"/>
          <w:lang w:eastAsia="en-US"/>
        </w:rPr>
      </w:pPr>
      <w:r w:rsidRPr="00E14CA6">
        <w:rPr>
          <w:rFonts w:ascii="Arial" w:eastAsia="Calibri" w:hAnsi="Arial" w:cs="Arial"/>
          <w:bCs/>
          <w:sz w:val="22"/>
          <w:szCs w:val="22"/>
          <w:lang w:eastAsia="en-US"/>
        </w:rPr>
        <w:t>Banco de Proyectos</w:t>
      </w:r>
      <w:r w:rsidR="00B873A6">
        <w:rPr>
          <w:rFonts w:ascii="Arial" w:eastAsia="Calibri" w:hAnsi="Arial" w:cs="Arial"/>
          <w:bCs/>
          <w:sz w:val="22"/>
          <w:szCs w:val="22"/>
          <w:lang w:eastAsia="en-US"/>
        </w:rPr>
        <w:t>:</w:t>
      </w:r>
      <w:r w:rsidRPr="00E14CA6">
        <w:rPr>
          <w:rFonts w:ascii="Arial" w:eastAsia="Calibri" w:hAnsi="Arial" w:cs="Arial"/>
          <w:bCs/>
          <w:sz w:val="22"/>
          <w:szCs w:val="22"/>
          <w:lang w:eastAsia="en-US"/>
        </w:rPr>
        <w:t xml:space="preserve"> Herramienta tecnológica y metodológica que regula procedimientos e instrumentos para la formulación, preparación, evaluación ex ante, viabilización y registro de proyectos de Inversión Pública en el Estado, administrada por la Subsecretaría de Planeación e Inversión Pública de la Secretaría de Finanzas</w:t>
      </w:r>
      <w:r w:rsidR="00E704A7">
        <w:rPr>
          <w:rFonts w:ascii="Arial" w:eastAsia="Calibri" w:hAnsi="Arial" w:cs="Arial"/>
          <w:bCs/>
          <w:sz w:val="22"/>
          <w:szCs w:val="22"/>
          <w:lang w:eastAsia="en-US"/>
        </w:rPr>
        <w:t>;</w:t>
      </w:r>
    </w:p>
    <w:p w:rsidR="00E704A7" w:rsidRPr="00E14CA6" w:rsidRDefault="00E704A7" w:rsidP="00E704A7">
      <w:pPr>
        <w:pStyle w:val="Prrafodelista"/>
        <w:ind w:left="851"/>
        <w:jc w:val="both"/>
        <w:rPr>
          <w:rFonts w:ascii="Arial" w:eastAsia="Calibri" w:hAnsi="Arial" w:cs="Arial"/>
          <w:bCs/>
          <w:sz w:val="22"/>
          <w:szCs w:val="22"/>
          <w:lang w:eastAsia="en-US"/>
        </w:rPr>
      </w:pPr>
    </w:p>
    <w:p w:rsidR="00EA3DEB" w:rsidRDefault="00E14CA6" w:rsidP="007845C7">
      <w:pPr>
        <w:pStyle w:val="Prrafodelista"/>
        <w:numPr>
          <w:ilvl w:val="0"/>
          <w:numId w:val="2"/>
        </w:numPr>
        <w:ind w:left="851" w:hanging="284"/>
        <w:jc w:val="both"/>
        <w:rPr>
          <w:rFonts w:ascii="Arial" w:eastAsia="Calibri" w:hAnsi="Arial" w:cs="Arial"/>
          <w:bCs/>
          <w:sz w:val="22"/>
          <w:szCs w:val="22"/>
          <w:lang w:eastAsia="en-US"/>
        </w:rPr>
      </w:pPr>
      <w:r w:rsidRPr="00E704A7">
        <w:rPr>
          <w:rFonts w:ascii="Arial" w:eastAsia="Calibri" w:hAnsi="Arial" w:cs="Arial"/>
          <w:bCs/>
          <w:color w:val="000000" w:themeColor="text1"/>
          <w:sz w:val="22"/>
          <w:szCs w:val="22"/>
          <w:lang w:eastAsia="en-US"/>
        </w:rPr>
        <w:t>Ejecutor</w:t>
      </w:r>
      <w:r w:rsidR="00B94F12" w:rsidRPr="00E704A7">
        <w:rPr>
          <w:rFonts w:ascii="Arial" w:eastAsia="Calibri" w:hAnsi="Arial" w:cs="Arial"/>
          <w:bCs/>
          <w:color w:val="000000" w:themeColor="text1"/>
          <w:sz w:val="22"/>
          <w:szCs w:val="22"/>
          <w:lang w:eastAsia="en-US"/>
        </w:rPr>
        <w:t>a</w:t>
      </w:r>
      <w:r w:rsidRPr="00E704A7">
        <w:rPr>
          <w:rFonts w:ascii="Arial" w:eastAsia="Calibri" w:hAnsi="Arial" w:cs="Arial"/>
          <w:bCs/>
          <w:color w:val="000000" w:themeColor="text1"/>
          <w:sz w:val="22"/>
          <w:szCs w:val="22"/>
          <w:lang w:eastAsia="en-US"/>
        </w:rPr>
        <w:t>s</w:t>
      </w:r>
      <w:r w:rsidR="00881A42" w:rsidRPr="00E704A7">
        <w:rPr>
          <w:rFonts w:ascii="Arial" w:eastAsia="Calibri" w:hAnsi="Arial" w:cs="Arial"/>
          <w:bCs/>
          <w:color w:val="000000" w:themeColor="text1"/>
          <w:sz w:val="22"/>
          <w:szCs w:val="22"/>
          <w:lang w:eastAsia="en-US"/>
        </w:rPr>
        <w:t xml:space="preserve"> del gasto</w:t>
      </w:r>
      <w:r w:rsidR="00B873A6" w:rsidRPr="00E704A7">
        <w:rPr>
          <w:rFonts w:ascii="Arial" w:eastAsia="Calibri" w:hAnsi="Arial" w:cs="Arial"/>
          <w:bCs/>
          <w:color w:val="000000" w:themeColor="text1"/>
          <w:sz w:val="22"/>
          <w:szCs w:val="22"/>
          <w:lang w:eastAsia="en-US"/>
        </w:rPr>
        <w:t xml:space="preserve">: </w:t>
      </w:r>
      <w:r w:rsidRPr="00E704A7">
        <w:rPr>
          <w:rFonts w:ascii="Arial" w:eastAsia="Calibri" w:hAnsi="Arial" w:cs="Arial"/>
          <w:bCs/>
          <w:color w:val="000000" w:themeColor="text1"/>
          <w:sz w:val="22"/>
          <w:szCs w:val="22"/>
          <w:lang w:eastAsia="en-US"/>
        </w:rPr>
        <w:t xml:space="preserve">Los entes de derecho público tales como Dependencias, </w:t>
      </w:r>
      <w:r w:rsidRPr="00E704A7">
        <w:rPr>
          <w:rFonts w:ascii="Arial" w:eastAsia="Calibri" w:hAnsi="Arial" w:cs="Arial"/>
          <w:bCs/>
          <w:sz w:val="22"/>
          <w:szCs w:val="22"/>
          <w:lang w:eastAsia="en-US"/>
        </w:rPr>
        <w:t xml:space="preserve">Entidades, Municipios u Organismos Públicos Descentralizados que cuenten con atribuciones para la ejecución de obra pública </w:t>
      </w:r>
      <w:r w:rsidR="00E704A7">
        <w:rPr>
          <w:rFonts w:ascii="Arial" w:eastAsia="Calibri" w:hAnsi="Arial" w:cs="Arial"/>
          <w:bCs/>
          <w:sz w:val="22"/>
          <w:szCs w:val="22"/>
          <w:lang w:eastAsia="en-US"/>
        </w:rPr>
        <w:t xml:space="preserve">y de las erogaciones consideradas como destino de la Bolsa, </w:t>
      </w:r>
      <w:r w:rsidRPr="00E704A7">
        <w:rPr>
          <w:rFonts w:ascii="Arial" w:eastAsia="Calibri" w:hAnsi="Arial" w:cs="Arial"/>
          <w:bCs/>
          <w:sz w:val="22"/>
          <w:szCs w:val="22"/>
          <w:lang w:eastAsia="en-US"/>
        </w:rPr>
        <w:t xml:space="preserve">a los que previa solicitud se les asignen recursos de conformidad con los supuestos contemplados en las presentes Reglas </w:t>
      </w:r>
      <w:r w:rsidR="007845C7" w:rsidRPr="00E704A7">
        <w:rPr>
          <w:rFonts w:ascii="Arial" w:eastAsia="Calibri" w:hAnsi="Arial" w:cs="Arial"/>
          <w:bCs/>
          <w:sz w:val="22"/>
          <w:szCs w:val="22"/>
          <w:lang w:eastAsia="en-US"/>
        </w:rPr>
        <w:t>que realizan erogaciones con cargo a</w:t>
      </w:r>
      <w:r w:rsidR="00E704A7">
        <w:rPr>
          <w:rFonts w:ascii="Arial" w:eastAsia="Calibri" w:hAnsi="Arial" w:cs="Arial"/>
          <w:bCs/>
          <w:sz w:val="22"/>
          <w:szCs w:val="22"/>
          <w:lang w:eastAsia="en-US"/>
        </w:rPr>
        <w:t xml:space="preserve"> </w:t>
      </w:r>
      <w:r w:rsidR="007845C7" w:rsidRPr="00E704A7">
        <w:rPr>
          <w:rFonts w:ascii="Arial" w:eastAsia="Calibri" w:hAnsi="Arial" w:cs="Arial"/>
          <w:bCs/>
          <w:sz w:val="22"/>
          <w:szCs w:val="22"/>
          <w:lang w:eastAsia="en-US"/>
        </w:rPr>
        <w:t>l</w:t>
      </w:r>
      <w:r w:rsidR="00E704A7">
        <w:rPr>
          <w:rFonts w:ascii="Arial" w:eastAsia="Calibri" w:hAnsi="Arial" w:cs="Arial"/>
          <w:bCs/>
          <w:sz w:val="22"/>
          <w:szCs w:val="22"/>
          <w:lang w:eastAsia="en-US"/>
        </w:rPr>
        <w:t>a Bolsa;</w:t>
      </w:r>
    </w:p>
    <w:p w:rsidR="00E704A7" w:rsidRPr="00E704A7" w:rsidRDefault="00E704A7" w:rsidP="00E704A7">
      <w:pPr>
        <w:pStyle w:val="Prrafodelista"/>
        <w:rPr>
          <w:rFonts w:ascii="Arial" w:eastAsia="Calibri" w:hAnsi="Arial" w:cs="Arial"/>
          <w:bCs/>
          <w:sz w:val="22"/>
          <w:szCs w:val="22"/>
          <w:lang w:eastAsia="en-US"/>
        </w:rPr>
      </w:pPr>
    </w:p>
    <w:p w:rsidR="00E704A7" w:rsidRDefault="00E704A7" w:rsidP="007845C7">
      <w:pPr>
        <w:pStyle w:val="Prrafodelista"/>
        <w:numPr>
          <w:ilvl w:val="0"/>
          <w:numId w:val="2"/>
        </w:numPr>
        <w:ind w:left="851" w:hanging="284"/>
        <w:jc w:val="both"/>
        <w:rPr>
          <w:rFonts w:ascii="Arial" w:eastAsia="Calibri" w:hAnsi="Arial" w:cs="Arial"/>
          <w:bCs/>
          <w:sz w:val="22"/>
          <w:szCs w:val="22"/>
          <w:lang w:eastAsia="en-US"/>
        </w:rPr>
      </w:pPr>
      <w:r>
        <w:rPr>
          <w:rFonts w:ascii="Arial" w:eastAsia="Calibri" w:hAnsi="Arial" w:cs="Arial"/>
          <w:bCs/>
          <w:sz w:val="22"/>
          <w:szCs w:val="22"/>
          <w:lang w:eastAsia="en-US"/>
        </w:rPr>
        <w:t xml:space="preserve">Bolsa: La Bolsa </w:t>
      </w:r>
      <w:r w:rsidRPr="00E14CA6">
        <w:rPr>
          <w:rFonts w:ascii="Arial" w:eastAsia="Calibri" w:hAnsi="Arial" w:cs="Arial"/>
          <w:bCs/>
          <w:sz w:val="22"/>
          <w:szCs w:val="22"/>
          <w:lang w:eastAsia="en-US"/>
        </w:rPr>
        <w:t>para el Fortalecimiento al Campo e Infraestructura Social</w:t>
      </w:r>
      <w:r>
        <w:rPr>
          <w:rFonts w:ascii="Arial" w:eastAsia="Calibri" w:hAnsi="Arial" w:cs="Arial"/>
          <w:bCs/>
          <w:sz w:val="22"/>
          <w:szCs w:val="22"/>
          <w:lang w:eastAsia="en-US"/>
        </w:rPr>
        <w:t>;</w:t>
      </w:r>
    </w:p>
    <w:p w:rsidR="00E704A7" w:rsidRPr="00E704A7" w:rsidRDefault="00E704A7" w:rsidP="00E704A7">
      <w:pPr>
        <w:spacing w:after="0"/>
        <w:ind w:left="709"/>
        <w:jc w:val="both"/>
        <w:rPr>
          <w:rFonts w:ascii="Arial" w:eastAsia="Calibri" w:hAnsi="Arial" w:cs="Arial"/>
          <w:bCs/>
        </w:rPr>
      </w:pPr>
    </w:p>
    <w:p w:rsidR="00E14CA6" w:rsidRDefault="00E14CA6" w:rsidP="00E14CA6">
      <w:pPr>
        <w:pStyle w:val="Prrafodelista"/>
        <w:numPr>
          <w:ilvl w:val="0"/>
          <w:numId w:val="2"/>
        </w:numPr>
        <w:ind w:left="851" w:hanging="284"/>
        <w:jc w:val="both"/>
        <w:rPr>
          <w:rFonts w:ascii="Arial" w:eastAsia="Calibri" w:hAnsi="Arial" w:cs="Arial"/>
          <w:bCs/>
          <w:sz w:val="22"/>
          <w:szCs w:val="22"/>
          <w:lang w:eastAsia="en-US"/>
        </w:rPr>
      </w:pPr>
      <w:r w:rsidRPr="00E14CA6">
        <w:rPr>
          <w:rFonts w:ascii="Arial" w:eastAsia="Calibri" w:hAnsi="Arial" w:cs="Arial"/>
          <w:bCs/>
          <w:sz w:val="22"/>
          <w:szCs w:val="22"/>
          <w:lang w:eastAsia="en-US"/>
        </w:rPr>
        <w:t>Instancia solicitante</w:t>
      </w:r>
      <w:r w:rsidR="00B873A6">
        <w:rPr>
          <w:rFonts w:ascii="Arial" w:eastAsia="Calibri" w:hAnsi="Arial" w:cs="Arial"/>
          <w:bCs/>
          <w:sz w:val="22"/>
          <w:szCs w:val="22"/>
          <w:lang w:eastAsia="en-US"/>
        </w:rPr>
        <w:t xml:space="preserve">: </w:t>
      </w:r>
      <w:r w:rsidRPr="00E14CA6">
        <w:rPr>
          <w:rFonts w:ascii="Arial" w:eastAsia="Calibri" w:hAnsi="Arial" w:cs="Arial"/>
          <w:bCs/>
          <w:sz w:val="22"/>
          <w:szCs w:val="22"/>
          <w:lang w:eastAsia="en-US"/>
        </w:rPr>
        <w:t>Los entes de derecho público tales como: Dependencias, Entidades, Municipios u Organismos Públicos Descentralizados que cuenten con atribuciones para la ejecución de obra pública y soliciten recursos, de conformidad con los supuestos conte</w:t>
      </w:r>
      <w:r w:rsidR="000D0056">
        <w:rPr>
          <w:rFonts w:ascii="Arial" w:eastAsia="Calibri" w:hAnsi="Arial" w:cs="Arial"/>
          <w:bCs/>
          <w:sz w:val="22"/>
          <w:szCs w:val="22"/>
          <w:lang w:eastAsia="en-US"/>
        </w:rPr>
        <w:t>mplados en las presentes Reglas;</w:t>
      </w:r>
    </w:p>
    <w:p w:rsidR="002C5870" w:rsidRPr="002C5870" w:rsidRDefault="002C5870" w:rsidP="002C5870">
      <w:pPr>
        <w:spacing w:after="0"/>
        <w:ind w:left="709"/>
        <w:jc w:val="both"/>
        <w:rPr>
          <w:rFonts w:ascii="Arial" w:eastAsia="Calibri" w:hAnsi="Arial" w:cs="Arial"/>
          <w:bCs/>
        </w:rPr>
      </w:pPr>
    </w:p>
    <w:p w:rsidR="00E14CA6" w:rsidRDefault="00E14CA6" w:rsidP="00E14CA6">
      <w:pPr>
        <w:pStyle w:val="Prrafodelista"/>
        <w:numPr>
          <w:ilvl w:val="0"/>
          <w:numId w:val="2"/>
        </w:numPr>
        <w:ind w:left="851" w:hanging="284"/>
        <w:jc w:val="both"/>
        <w:rPr>
          <w:rFonts w:ascii="Arial" w:eastAsia="Calibri" w:hAnsi="Arial" w:cs="Arial"/>
          <w:bCs/>
          <w:sz w:val="22"/>
          <w:szCs w:val="22"/>
          <w:lang w:eastAsia="en-US"/>
        </w:rPr>
      </w:pPr>
      <w:r w:rsidRPr="00E14CA6">
        <w:rPr>
          <w:rFonts w:ascii="Arial" w:eastAsia="Calibri" w:hAnsi="Arial" w:cs="Arial"/>
          <w:bCs/>
          <w:sz w:val="22"/>
          <w:szCs w:val="22"/>
          <w:lang w:eastAsia="en-US"/>
        </w:rPr>
        <w:t>Proyecto de Inversión Pública</w:t>
      </w:r>
      <w:r w:rsidR="00B873A6">
        <w:rPr>
          <w:rFonts w:ascii="Arial" w:eastAsia="Calibri" w:hAnsi="Arial" w:cs="Arial"/>
          <w:bCs/>
          <w:sz w:val="22"/>
          <w:szCs w:val="22"/>
          <w:lang w:eastAsia="en-US"/>
        </w:rPr>
        <w:t>:</w:t>
      </w:r>
      <w:r w:rsidRPr="00E14CA6">
        <w:rPr>
          <w:rFonts w:ascii="Arial" w:eastAsia="Calibri" w:hAnsi="Arial" w:cs="Arial"/>
          <w:bCs/>
          <w:sz w:val="22"/>
          <w:szCs w:val="22"/>
          <w:lang w:eastAsia="en-US"/>
        </w:rPr>
        <w:t xml:space="preserve"> </w:t>
      </w:r>
      <w:r w:rsidR="00CA0402">
        <w:rPr>
          <w:rFonts w:ascii="Arial" w:eastAsia="Calibri" w:hAnsi="Arial" w:cs="Arial"/>
          <w:bCs/>
          <w:sz w:val="22"/>
          <w:szCs w:val="22"/>
          <w:lang w:eastAsia="en-US"/>
        </w:rPr>
        <w:t xml:space="preserve">Conjunto organizado de insumos, actividades, </w:t>
      </w:r>
      <w:r w:rsidR="00D744DC">
        <w:rPr>
          <w:rFonts w:ascii="Arial" w:eastAsia="Calibri" w:hAnsi="Arial" w:cs="Arial"/>
          <w:bCs/>
          <w:sz w:val="22"/>
          <w:szCs w:val="22"/>
          <w:lang w:eastAsia="en-US"/>
        </w:rPr>
        <w:t>recursos y/u obras tendientes a aumentar la formación bruta de capital fijo o el incremento del capital humano en tiempo y con unos recursos f</w:t>
      </w:r>
      <w:r w:rsidR="00CA0402">
        <w:rPr>
          <w:rFonts w:ascii="Arial" w:eastAsia="Calibri" w:hAnsi="Arial" w:cs="Arial"/>
          <w:bCs/>
          <w:sz w:val="22"/>
          <w:szCs w:val="22"/>
          <w:lang w:eastAsia="en-US"/>
        </w:rPr>
        <w:t>in</w:t>
      </w:r>
      <w:r w:rsidR="00D744DC">
        <w:rPr>
          <w:rFonts w:ascii="Arial" w:eastAsia="Calibri" w:hAnsi="Arial" w:cs="Arial"/>
          <w:bCs/>
          <w:sz w:val="22"/>
          <w:szCs w:val="22"/>
          <w:lang w:eastAsia="en-US"/>
        </w:rPr>
        <w:t>i</w:t>
      </w:r>
      <w:r w:rsidR="00CA0402">
        <w:rPr>
          <w:rFonts w:ascii="Arial" w:eastAsia="Calibri" w:hAnsi="Arial" w:cs="Arial"/>
          <w:bCs/>
          <w:sz w:val="22"/>
          <w:szCs w:val="22"/>
          <w:lang w:eastAsia="en-US"/>
        </w:rPr>
        <w:t>tos;</w:t>
      </w:r>
    </w:p>
    <w:p w:rsidR="00864E6E" w:rsidRPr="00864E6E" w:rsidRDefault="00864E6E" w:rsidP="00864E6E">
      <w:pPr>
        <w:spacing w:after="0"/>
        <w:ind w:left="709"/>
        <w:jc w:val="both"/>
        <w:rPr>
          <w:rFonts w:ascii="Arial" w:eastAsia="Calibri" w:hAnsi="Arial" w:cs="Arial"/>
          <w:bCs/>
        </w:rPr>
      </w:pPr>
    </w:p>
    <w:p w:rsidR="00E14CA6" w:rsidRDefault="00E14CA6" w:rsidP="00E14CA6">
      <w:pPr>
        <w:pStyle w:val="Prrafodelista"/>
        <w:numPr>
          <w:ilvl w:val="0"/>
          <w:numId w:val="2"/>
        </w:numPr>
        <w:ind w:left="851" w:hanging="284"/>
        <w:jc w:val="both"/>
        <w:rPr>
          <w:rFonts w:ascii="Arial" w:eastAsia="Calibri" w:hAnsi="Arial" w:cs="Arial"/>
          <w:bCs/>
          <w:sz w:val="22"/>
          <w:szCs w:val="22"/>
          <w:lang w:eastAsia="en-US"/>
        </w:rPr>
      </w:pPr>
      <w:r w:rsidRPr="00E14CA6">
        <w:rPr>
          <w:rFonts w:ascii="Arial" w:eastAsia="Calibri" w:hAnsi="Arial" w:cs="Arial"/>
          <w:bCs/>
          <w:sz w:val="22"/>
          <w:szCs w:val="22"/>
          <w:lang w:eastAsia="en-US"/>
        </w:rPr>
        <w:t>Reglas</w:t>
      </w:r>
      <w:r w:rsidR="00B873A6">
        <w:rPr>
          <w:rFonts w:ascii="Arial" w:eastAsia="Calibri" w:hAnsi="Arial" w:cs="Arial"/>
          <w:bCs/>
          <w:sz w:val="22"/>
          <w:szCs w:val="22"/>
          <w:lang w:eastAsia="en-US"/>
        </w:rPr>
        <w:t>:</w:t>
      </w:r>
      <w:r w:rsidRPr="00E14CA6">
        <w:rPr>
          <w:rFonts w:ascii="Arial" w:eastAsia="Calibri" w:hAnsi="Arial" w:cs="Arial"/>
          <w:bCs/>
          <w:sz w:val="22"/>
          <w:szCs w:val="22"/>
          <w:lang w:eastAsia="en-US"/>
        </w:rPr>
        <w:t xml:space="preserve"> Las Reglas de Operación de</w:t>
      </w:r>
      <w:r w:rsidR="00CA0402">
        <w:rPr>
          <w:rFonts w:ascii="Arial" w:eastAsia="Calibri" w:hAnsi="Arial" w:cs="Arial"/>
          <w:bCs/>
          <w:sz w:val="22"/>
          <w:szCs w:val="22"/>
          <w:lang w:eastAsia="en-US"/>
        </w:rPr>
        <w:t xml:space="preserve"> </w:t>
      </w:r>
      <w:r w:rsidRPr="00E14CA6">
        <w:rPr>
          <w:rFonts w:ascii="Arial" w:eastAsia="Calibri" w:hAnsi="Arial" w:cs="Arial"/>
          <w:bCs/>
          <w:sz w:val="22"/>
          <w:szCs w:val="22"/>
          <w:lang w:eastAsia="en-US"/>
        </w:rPr>
        <w:t>l</w:t>
      </w:r>
      <w:r w:rsidR="00CA0402">
        <w:rPr>
          <w:rFonts w:ascii="Arial" w:eastAsia="Calibri" w:hAnsi="Arial" w:cs="Arial"/>
          <w:bCs/>
          <w:sz w:val="22"/>
          <w:szCs w:val="22"/>
          <w:lang w:eastAsia="en-US"/>
        </w:rPr>
        <w:t>a Bolsa</w:t>
      </w:r>
      <w:r w:rsidRPr="00E14CA6">
        <w:rPr>
          <w:rFonts w:ascii="Arial" w:eastAsia="Calibri" w:hAnsi="Arial" w:cs="Arial"/>
          <w:bCs/>
          <w:sz w:val="22"/>
          <w:szCs w:val="22"/>
          <w:lang w:eastAsia="en-US"/>
        </w:rPr>
        <w:t xml:space="preserve"> para el Fortalecimiento al Campo e Infraestructura Social</w:t>
      </w:r>
      <w:r w:rsidR="00CA0402">
        <w:rPr>
          <w:rFonts w:ascii="Arial" w:eastAsia="Calibri" w:hAnsi="Arial" w:cs="Arial"/>
          <w:bCs/>
          <w:sz w:val="22"/>
          <w:szCs w:val="22"/>
          <w:lang w:eastAsia="en-US"/>
        </w:rPr>
        <w:t>;</w:t>
      </w:r>
    </w:p>
    <w:p w:rsidR="00CA0402" w:rsidRPr="00CA0402" w:rsidRDefault="00CA0402" w:rsidP="00CA0402">
      <w:pPr>
        <w:spacing w:after="0"/>
        <w:ind w:left="709"/>
        <w:jc w:val="both"/>
        <w:rPr>
          <w:rFonts w:ascii="Arial" w:eastAsia="Calibri" w:hAnsi="Arial" w:cs="Arial"/>
          <w:bCs/>
        </w:rPr>
      </w:pPr>
    </w:p>
    <w:p w:rsidR="00E14CA6" w:rsidRPr="00E14CA6" w:rsidRDefault="00E14CA6" w:rsidP="00E14CA6">
      <w:pPr>
        <w:pStyle w:val="Prrafodelista"/>
        <w:numPr>
          <w:ilvl w:val="0"/>
          <w:numId w:val="2"/>
        </w:numPr>
        <w:ind w:left="851" w:hanging="284"/>
        <w:jc w:val="both"/>
        <w:rPr>
          <w:rFonts w:ascii="Arial" w:eastAsia="Calibri" w:hAnsi="Arial" w:cs="Arial"/>
          <w:bCs/>
          <w:sz w:val="22"/>
          <w:szCs w:val="22"/>
          <w:lang w:eastAsia="en-US"/>
        </w:rPr>
      </w:pPr>
      <w:r w:rsidRPr="00E14CA6">
        <w:rPr>
          <w:rFonts w:ascii="Arial" w:eastAsia="Calibri" w:hAnsi="Arial" w:cs="Arial"/>
          <w:bCs/>
          <w:sz w:val="22"/>
          <w:szCs w:val="22"/>
          <w:lang w:eastAsia="en-US"/>
        </w:rPr>
        <w:t>Sistema de Inversión</w:t>
      </w:r>
      <w:r w:rsidR="00B873A6">
        <w:rPr>
          <w:rFonts w:ascii="Arial" w:eastAsia="Calibri" w:hAnsi="Arial" w:cs="Arial"/>
          <w:bCs/>
          <w:sz w:val="22"/>
          <w:szCs w:val="22"/>
          <w:lang w:eastAsia="en-US"/>
        </w:rPr>
        <w:t>:</w:t>
      </w:r>
      <w:r w:rsidRPr="00E14CA6">
        <w:rPr>
          <w:rFonts w:ascii="Arial" w:eastAsia="Calibri" w:hAnsi="Arial" w:cs="Arial"/>
          <w:bCs/>
          <w:sz w:val="22"/>
          <w:szCs w:val="22"/>
          <w:lang w:eastAsia="en-US"/>
        </w:rPr>
        <w:t xml:space="preserve"> Plataforma administrada por la Subsecretaría de Planeación e Inversión Pública cuya función es registrar Proyectos de Inversión Pública que serán </w:t>
      </w:r>
      <w:r w:rsidR="00CA0402">
        <w:rPr>
          <w:rFonts w:ascii="Arial" w:eastAsia="Calibri" w:hAnsi="Arial" w:cs="Arial"/>
          <w:bCs/>
          <w:sz w:val="22"/>
          <w:szCs w:val="22"/>
          <w:lang w:eastAsia="en-US"/>
        </w:rPr>
        <w:t>desarrollados</w:t>
      </w:r>
      <w:r w:rsidRPr="00E14CA6">
        <w:rPr>
          <w:rFonts w:ascii="Arial" w:eastAsia="Calibri" w:hAnsi="Arial" w:cs="Arial"/>
          <w:bCs/>
          <w:sz w:val="22"/>
          <w:szCs w:val="22"/>
          <w:lang w:eastAsia="en-US"/>
        </w:rPr>
        <w:t xml:space="preserve"> por las </w:t>
      </w:r>
      <w:r w:rsidR="00CA0402">
        <w:rPr>
          <w:rFonts w:ascii="Arial" w:eastAsia="Calibri" w:hAnsi="Arial" w:cs="Arial"/>
          <w:bCs/>
          <w:sz w:val="22"/>
          <w:szCs w:val="22"/>
          <w:lang w:eastAsia="en-US"/>
        </w:rPr>
        <w:t>Ejecutoras del gasto.</w:t>
      </w:r>
    </w:p>
    <w:p w:rsidR="00E14CA6" w:rsidRDefault="00E14CA6" w:rsidP="00E14CA6">
      <w:pPr>
        <w:pStyle w:val="Prrafodelista"/>
        <w:ind w:left="284"/>
        <w:jc w:val="center"/>
        <w:rPr>
          <w:rFonts w:ascii="Arial" w:eastAsia="Calibri" w:hAnsi="Arial" w:cs="Arial"/>
          <w:bCs/>
          <w:sz w:val="22"/>
          <w:szCs w:val="22"/>
          <w:lang w:eastAsia="en-US"/>
        </w:rPr>
      </w:pPr>
    </w:p>
    <w:p w:rsidR="00876B52" w:rsidRDefault="00876B52" w:rsidP="00E14CA6">
      <w:pPr>
        <w:pStyle w:val="Prrafodelista"/>
        <w:ind w:left="284"/>
        <w:jc w:val="center"/>
        <w:rPr>
          <w:rFonts w:ascii="Arial" w:eastAsia="Calibri" w:hAnsi="Arial" w:cs="Arial"/>
          <w:bCs/>
          <w:sz w:val="22"/>
          <w:szCs w:val="22"/>
          <w:lang w:eastAsia="en-US"/>
        </w:rPr>
      </w:pPr>
    </w:p>
    <w:p w:rsidR="00876B52" w:rsidRDefault="00876B52" w:rsidP="00E14CA6">
      <w:pPr>
        <w:pStyle w:val="Prrafodelista"/>
        <w:ind w:left="284"/>
        <w:jc w:val="center"/>
        <w:rPr>
          <w:rFonts w:ascii="Arial" w:eastAsia="Calibri" w:hAnsi="Arial" w:cs="Arial"/>
          <w:bCs/>
          <w:sz w:val="22"/>
          <w:szCs w:val="22"/>
          <w:lang w:eastAsia="en-US"/>
        </w:rPr>
      </w:pPr>
    </w:p>
    <w:p w:rsidR="00876B52" w:rsidRPr="00E14CA6" w:rsidRDefault="00876B52" w:rsidP="00E14CA6">
      <w:pPr>
        <w:pStyle w:val="Prrafodelista"/>
        <w:ind w:left="284"/>
        <w:jc w:val="center"/>
        <w:rPr>
          <w:rFonts w:ascii="Arial" w:eastAsia="Calibri" w:hAnsi="Arial" w:cs="Arial"/>
          <w:bCs/>
          <w:sz w:val="22"/>
          <w:szCs w:val="22"/>
          <w:lang w:eastAsia="en-US"/>
        </w:rPr>
      </w:pPr>
    </w:p>
    <w:p w:rsidR="00E14CA6" w:rsidRPr="00B873A6" w:rsidRDefault="00E14CA6" w:rsidP="00E14CA6">
      <w:pPr>
        <w:pStyle w:val="Prrafodelista"/>
        <w:ind w:left="284"/>
        <w:jc w:val="center"/>
        <w:rPr>
          <w:rFonts w:ascii="Arial" w:eastAsia="Calibri" w:hAnsi="Arial" w:cs="Arial"/>
          <w:b/>
          <w:bCs/>
          <w:sz w:val="22"/>
          <w:szCs w:val="22"/>
          <w:lang w:eastAsia="en-US"/>
        </w:rPr>
      </w:pPr>
      <w:r w:rsidRPr="00B873A6">
        <w:rPr>
          <w:rFonts w:ascii="Arial" w:eastAsia="Calibri" w:hAnsi="Arial" w:cs="Arial"/>
          <w:b/>
          <w:bCs/>
          <w:sz w:val="22"/>
          <w:szCs w:val="22"/>
          <w:lang w:eastAsia="en-US"/>
        </w:rPr>
        <w:lastRenderedPageBreak/>
        <w:t>Capítulo III</w:t>
      </w:r>
    </w:p>
    <w:p w:rsidR="00E14CA6" w:rsidRPr="00B873A6" w:rsidRDefault="00E14CA6" w:rsidP="00E14CA6">
      <w:pPr>
        <w:pStyle w:val="Prrafodelista"/>
        <w:ind w:left="284"/>
        <w:jc w:val="center"/>
        <w:rPr>
          <w:rFonts w:ascii="Arial" w:eastAsia="Calibri" w:hAnsi="Arial" w:cs="Arial"/>
          <w:b/>
          <w:bCs/>
          <w:sz w:val="22"/>
          <w:szCs w:val="22"/>
          <w:lang w:eastAsia="en-US"/>
        </w:rPr>
      </w:pPr>
      <w:r w:rsidRPr="00B873A6">
        <w:rPr>
          <w:rFonts w:ascii="Arial" w:eastAsia="Calibri" w:hAnsi="Arial" w:cs="Arial"/>
          <w:b/>
          <w:bCs/>
          <w:sz w:val="22"/>
          <w:szCs w:val="22"/>
          <w:lang w:eastAsia="en-US"/>
        </w:rPr>
        <w:t xml:space="preserve">De los </w:t>
      </w:r>
      <w:r w:rsidR="00B873A6">
        <w:rPr>
          <w:rFonts w:ascii="Arial" w:eastAsia="Calibri" w:hAnsi="Arial" w:cs="Arial"/>
          <w:b/>
          <w:bCs/>
          <w:sz w:val="22"/>
          <w:szCs w:val="22"/>
          <w:lang w:eastAsia="en-US"/>
        </w:rPr>
        <w:t>P</w:t>
      </w:r>
      <w:r w:rsidRPr="00B873A6">
        <w:rPr>
          <w:rFonts w:ascii="Arial" w:eastAsia="Calibri" w:hAnsi="Arial" w:cs="Arial"/>
          <w:b/>
          <w:bCs/>
          <w:sz w:val="22"/>
          <w:szCs w:val="22"/>
          <w:lang w:eastAsia="en-US"/>
        </w:rPr>
        <w:t xml:space="preserve">royectos de </w:t>
      </w:r>
      <w:r w:rsidR="00B873A6">
        <w:rPr>
          <w:rFonts w:ascii="Arial" w:eastAsia="Calibri" w:hAnsi="Arial" w:cs="Arial"/>
          <w:b/>
          <w:bCs/>
          <w:sz w:val="22"/>
          <w:szCs w:val="22"/>
          <w:lang w:eastAsia="en-US"/>
        </w:rPr>
        <w:t>I</w:t>
      </w:r>
      <w:r w:rsidRPr="00B873A6">
        <w:rPr>
          <w:rFonts w:ascii="Arial" w:eastAsia="Calibri" w:hAnsi="Arial" w:cs="Arial"/>
          <w:b/>
          <w:bCs/>
          <w:sz w:val="22"/>
          <w:szCs w:val="22"/>
          <w:lang w:eastAsia="en-US"/>
        </w:rPr>
        <w:t xml:space="preserve">nversión </w:t>
      </w:r>
      <w:r w:rsidR="00B873A6">
        <w:rPr>
          <w:rFonts w:ascii="Arial" w:eastAsia="Calibri" w:hAnsi="Arial" w:cs="Arial"/>
          <w:b/>
          <w:bCs/>
          <w:sz w:val="22"/>
          <w:szCs w:val="22"/>
          <w:lang w:eastAsia="en-US"/>
        </w:rPr>
        <w:t>a</w:t>
      </w:r>
      <w:r w:rsidRPr="00B873A6">
        <w:rPr>
          <w:rFonts w:ascii="Arial" w:eastAsia="Calibri" w:hAnsi="Arial" w:cs="Arial"/>
          <w:b/>
          <w:bCs/>
          <w:sz w:val="22"/>
          <w:szCs w:val="22"/>
          <w:lang w:eastAsia="en-US"/>
        </w:rPr>
        <w:t>poyados</w:t>
      </w:r>
    </w:p>
    <w:p w:rsidR="00E14CA6" w:rsidRPr="00E14CA6" w:rsidRDefault="00E14CA6" w:rsidP="00E14CA6">
      <w:pPr>
        <w:jc w:val="both"/>
        <w:rPr>
          <w:rFonts w:ascii="Arial" w:eastAsia="Calibri" w:hAnsi="Arial" w:cs="Arial"/>
          <w:bCs/>
        </w:rPr>
      </w:pPr>
    </w:p>
    <w:p w:rsidR="00E14CA6" w:rsidRPr="00E14CA6" w:rsidRDefault="00E14CA6" w:rsidP="00E14CA6">
      <w:pPr>
        <w:pStyle w:val="Prrafodelista"/>
        <w:numPr>
          <w:ilvl w:val="0"/>
          <w:numId w:val="1"/>
        </w:numPr>
        <w:ind w:left="284" w:hanging="284"/>
        <w:jc w:val="both"/>
        <w:rPr>
          <w:rFonts w:ascii="Arial" w:eastAsia="Calibri" w:hAnsi="Arial" w:cs="Arial"/>
          <w:bCs/>
          <w:sz w:val="22"/>
          <w:szCs w:val="22"/>
          <w:lang w:eastAsia="en-US"/>
        </w:rPr>
      </w:pPr>
      <w:r w:rsidRPr="00E14CA6">
        <w:rPr>
          <w:rFonts w:ascii="Arial" w:eastAsia="Calibri" w:hAnsi="Arial" w:cs="Arial"/>
          <w:bCs/>
          <w:sz w:val="22"/>
          <w:szCs w:val="22"/>
          <w:lang w:eastAsia="en-US"/>
        </w:rPr>
        <w:t>Los recursos de</w:t>
      </w:r>
      <w:r w:rsidR="00876B52">
        <w:rPr>
          <w:rFonts w:ascii="Arial" w:eastAsia="Calibri" w:hAnsi="Arial" w:cs="Arial"/>
          <w:bCs/>
          <w:sz w:val="22"/>
          <w:szCs w:val="22"/>
          <w:lang w:eastAsia="en-US"/>
        </w:rPr>
        <w:t xml:space="preserve"> </w:t>
      </w:r>
      <w:r w:rsidRPr="00E14CA6">
        <w:rPr>
          <w:rFonts w:ascii="Arial" w:eastAsia="Calibri" w:hAnsi="Arial" w:cs="Arial"/>
          <w:bCs/>
          <w:sz w:val="22"/>
          <w:szCs w:val="22"/>
          <w:lang w:eastAsia="en-US"/>
        </w:rPr>
        <w:t>l</w:t>
      </w:r>
      <w:r w:rsidR="00876B52">
        <w:rPr>
          <w:rFonts w:ascii="Arial" w:eastAsia="Calibri" w:hAnsi="Arial" w:cs="Arial"/>
          <w:bCs/>
          <w:sz w:val="22"/>
          <w:szCs w:val="22"/>
          <w:lang w:eastAsia="en-US"/>
        </w:rPr>
        <w:t>a Bolsa</w:t>
      </w:r>
      <w:r w:rsidRPr="00E14CA6">
        <w:rPr>
          <w:rFonts w:ascii="Arial" w:eastAsia="Calibri" w:hAnsi="Arial" w:cs="Arial"/>
          <w:bCs/>
          <w:sz w:val="22"/>
          <w:szCs w:val="22"/>
          <w:lang w:eastAsia="en-US"/>
        </w:rPr>
        <w:t xml:space="preserve"> se podrán destinar, de manera enunciativa y no limitativa, a los conceptos siguientes:</w:t>
      </w:r>
    </w:p>
    <w:p w:rsidR="00E14CA6" w:rsidRPr="00E14CA6" w:rsidRDefault="00E14CA6" w:rsidP="00CE62FA">
      <w:pPr>
        <w:spacing w:after="0"/>
        <w:rPr>
          <w:rFonts w:ascii="Arial" w:eastAsia="Calibri" w:hAnsi="Arial" w:cs="Arial"/>
          <w:bCs/>
        </w:rPr>
      </w:pPr>
    </w:p>
    <w:p w:rsidR="00E14CA6" w:rsidRPr="00E14CA6" w:rsidRDefault="00E14CA6" w:rsidP="00E14CA6">
      <w:pPr>
        <w:pStyle w:val="Prrafodelista"/>
        <w:numPr>
          <w:ilvl w:val="0"/>
          <w:numId w:val="4"/>
        </w:numPr>
        <w:jc w:val="both"/>
        <w:rPr>
          <w:rFonts w:ascii="Arial" w:eastAsia="Calibri" w:hAnsi="Arial" w:cs="Arial"/>
          <w:bCs/>
          <w:sz w:val="22"/>
          <w:szCs w:val="22"/>
          <w:lang w:eastAsia="en-US"/>
        </w:rPr>
      </w:pPr>
      <w:r w:rsidRPr="00E14CA6">
        <w:rPr>
          <w:rFonts w:ascii="Arial" w:eastAsia="Calibri" w:hAnsi="Arial" w:cs="Arial"/>
          <w:bCs/>
          <w:sz w:val="22"/>
          <w:szCs w:val="22"/>
          <w:lang w:eastAsia="en-US"/>
        </w:rPr>
        <w:t>Apoyo a siembra, producción y comercialización de granos</w:t>
      </w:r>
      <w:r w:rsidR="008A6B87">
        <w:rPr>
          <w:rFonts w:ascii="Arial" w:eastAsia="Calibri" w:hAnsi="Arial" w:cs="Arial"/>
          <w:bCs/>
          <w:sz w:val="22"/>
          <w:szCs w:val="22"/>
          <w:lang w:eastAsia="en-US"/>
        </w:rPr>
        <w:t>;</w:t>
      </w:r>
    </w:p>
    <w:p w:rsidR="00E14CA6" w:rsidRPr="00E14CA6" w:rsidRDefault="00E14CA6" w:rsidP="00E14CA6">
      <w:pPr>
        <w:pStyle w:val="Prrafodelista"/>
        <w:numPr>
          <w:ilvl w:val="0"/>
          <w:numId w:val="4"/>
        </w:numPr>
        <w:jc w:val="both"/>
        <w:rPr>
          <w:rFonts w:ascii="Arial" w:eastAsia="Calibri" w:hAnsi="Arial" w:cs="Arial"/>
          <w:bCs/>
          <w:sz w:val="22"/>
          <w:szCs w:val="22"/>
          <w:lang w:eastAsia="en-US"/>
        </w:rPr>
      </w:pPr>
      <w:r w:rsidRPr="00E14CA6">
        <w:rPr>
          <w:rFonts w:ascii="Arial" w:eastAsia="Calibri" w:hAnsi="Arial" w:cs="Arial"/>
          <w:bCs/>
          <w:sz w:val="22"/>
          <w:szCs w:val="22"/>
          <w:lang w:eastAsia="en-US"/>
        </w:rPr>
        <w:t>Banco de materiales</w:t>
      </w:r>
      <w:r w:rsidR="008A6B87">
        <w:rPr>
          <w:rFonts w:ascii="Arial" w:eastAsia="Calibri" w:hAnsi="Arial" w:cs="Arial"/>
          <w:bCs/>
          <w:sz w:val="22"/>
          <w:szCs w:val="22"/>
          <w:lang w:eastAsia="en-US"/>
        </w:rPr>
        <w:t>;</w:t>
      </w:r>
    </w:p>
    <w:p w:rsidR="00E14CA6" w:rsidRPr="00E14CA6" w:rsidRDefault="00E14CA6" w:rsidP="00E14CA6">
      <w:pPr>
        <w:pStyle w:val="Prrafodelista"/>
        <w:numPr>
          <w:ilvl w:val="0"/>
          <w:numId w:val="4"/>
        </w:numPr>
        <w:jc w:val="both"/>
        <w:rPr>
          <w:rFonts w:ascii="Arial" w:eastAsia="Calibri" w:hAnsi="Arial" w:cs="Arial"/>
          <w:bCs/>
          <w:sz w:val="22"/>
          <w:szCs w:val="22"/>
          <w:lang w:eastAsia="en-US"/>
        </w:rPr>
      </w:pPr>
      <w:r w:rsidRPr="00E14CA6">
        <w:rPr>
          <w:rFonts w:ascii="Arial" w:eastAsia="Calibri" w:hAnsi="Arial" w:cs="Arial"/>
          <w:bCs/>
          <w:sz w:val="22"/>
          <w:szCs w:val="22"/>
          <w:lang w:eastAsia="en-US"/>
        </w:rPr>
        <w:t>Biodigestores</w:t>
      </w:r>
      <w:r w:rsidR="008A6B87">
        <w:rPr>
          <w:rFonts w:ascii="Arial" w:eastAsia="Calibri" w:hAnsi="Arial" w:cs="Arial"/>
          <w:bCs/>
          <w:sz w:val="22"/>
          <w:szCs w:val="22"/>
          <w:lang w:eastAsia="en-US"/>
        </w:rPr>
        <w:t>;</w:t>
      </w:r>
    </w:p>
    <w:p w:rsidR="00E14CA6" w:rsidRPr="00E14CA6" w:rsidRDefault="00E14CA6" w:rsidP="00E14CA6">
      <w:pPr>
        <w:pStyle w:val="Prrafodelista"/>
        <w:numPr>
          <w:ilvl w:val="0"/>
          <w:numId w:val="4"/>
        </w:numPr>
        <w:jc w:val="both"/>
        <w:rPr>
          <w:rFonts w:ascii="Arial" w:eastAsia="Calibri" w:hAnsi="Arial" w:cs="Arial"/>
          <w:bCs/>
          <w:sz w:val="22"/>
          <w:szCs w:val="22"/>
          <w:lang w:eastAsia="en-US"/>
        </w:rPr>
      </w:pPr>
      <w:r w:rsidRPr="00E14CA6">
        <w:rPr>
          <w:rFonts w:ascii="Arial" w:eastAsia="Calibri" w:hAnsi="Arial" w:cs="Arial"/>
          <w:bCs/>
          <w:sz w:val="22"/>
          <w:szCs w:val="22"/>
          <w:lang w:eastAsia="en-US"/>
        </w:rPr>
        <w:t>Carros recolectores de basura</w:t>
      </w:r>
      <w:r w:rsidR="008A6B87">
        <w:rPr>
          <w:rFonts w:ascii="Arial" w:eastAsia="Calibri" w:hAnsi="Arial" w:cs="Arial"/>
          <w:bCs/>
          <w:sz w:val="22"/>
          <w:szCs w:val="22"/>
          <w:lang w:eastAsia="en-US"/>
        </w:rPr>
        <w:t>;</w:t>
      </w:r>
    </w:p>
    <w:p w:rsidR="00E14CA6" w:rsidRPr="00E14CA6" w:rsidRDefault="00E14CA6" w:rsidP="00E14CA6">
      <w:pPr>
        <w:pStyle w:val="Prrafodelista"/>
        <w:numPr>
          <w:ilvl w:val="0"/>
          <w:numId w:val="4"/>
        </w:numPr>
        <w:jc w:val="both"/>
        <w:rPr>
          <w:rFonts w:ascii="Arial" w:eastAsia="Calibri" w:hAnsi="Arial" w:cs="Arial"/>
          <w:bCs/>
          <w:sz w:val="22"/>
          <w:szCs w:val="22"/>
          <w:lang w:eastAsia="en-US"/>
        </w:rPr>
      </w:pPr>
      <w:r w:rsidRPr="00E14CA6">
        <w:rPr>
          <w:rFonts w:ascii="Arial" w:eastAsia="Calibri" w:hAnsi="Arial" w:cs="Arial"/>
          <w:bCs/>
          <w:sz w:val="22"/>
          <w:szCs w:val="22"/>
          <w:lang w:eastAsia="en-US"/>
        </w:rPr>
        <w:t>Carros de volteo</w:t>
      </w:r>
      <w:r w:rsidR="008A6B87">
        <w:rPr>
          <w:rFonts w:ascii="Arial" w:eastAsia="Calibri" w:hAnsi="Arial" w:cs="Arial"/>
          <w:bCs/>
          <w:sz w:val="22"/>
          <w:szCs w:val="22"/>
          <w:lang w:eastAsia="en-US"/>
        </w:rPr>
        <w:t>;</w:t>
      </w:r>
    </w:p>
    <w:p w:rsidR="00E14CA6" w:rsidRPr="00E14CA6" w:rsidRDefault="00E14CA6" w:rsidP="00E14CA6">
      <w:pPr>
        <w:pStyle w:val="Prrafodelista"/>
        <w:numPr>
          <w:ilvl w:val="0"/>
          <w:numId w:val="4"/>
        </w:numPr>
        <w:jc w:val="both"/>
        <w:rPr>
          <w:rFonts w:ascii="Arial" w:eastAsia="Calibri" w:hAnsi="Arial" w:cs="Arial"/>
          <w:bCs/>
          <w:sz w:val="22"/>
          <w:szCs w:val="22"/>
          <w:lang w:eastAsia="en-US"/>
        </w:rPr>
      </w:pPr>
      <w:r w:rsidRPr="00E14CA6">
        <w:rPr>
          <w:rFonts w:ascii="Arial" w:eastAsia="Calibri" w:hAnsi="Arial" w:cs="Arial"/>
          <w:bCs/>
          <w:sz w:val="22"/>
          <w:szCs w:val="22"/>
          <w:lang w:eastAsia="en-US"/>
        </w:rPr>
        <w:t>Materiales de construcción</w:t>
      </w:r>
      <w:r w:rsidR="008A6B87">
        <w:rPr>
          <w:rFonts w:ascii="Arial" w:eastAsia="Calibri" w:hAnsi="Arial" w:cs="Arial"/>
          <w:bCs/>
          <w:sz w:val="22"/>
          <w:szCs w:val="22"/>
          <w:lang w:eastAsia="en-US"/>
        </w:rPr>
        <w:t>;</w:t>
      </w:r>
    </w:p>
    <w:p w:rsidR="00E14CA6" w:rsidRPr="00E14CA6" w:rsidRDefault="00E14CA6" w:rsidP="00E14CA6">
      <w:pPr>
        <w:pStyle w:val="Prrafodelista"/>
        <w:numPr>
          <w:ilvl w:val="0"/>
          <w:numId w:val="4"/>
        </w:numPr>
        <w:jc w:val="both"/>
        <w:rPr>
          <w:rFonts w:ascii="Arial" w:eastAsia="Calibri" w:hAnsi="Arial" w:cs="Arial"/>
          <w:bCs/>
          <w:sz w:val="22"/>
          <w:szCs w:val="22"/>
          <w:lang w:eastAsia="en-US"/>
        </w:rPr>
      </w:pPr>
      <w:r w:rsidRPr="00E14CA6">
        <w:rPr>
          <w:rFonts w:ascii="Arial" w:eastAsia="Calibri" w:hAnsi="Arial" w:cs="Arial"/>
          <w:bCs/>
          <w:sz w:val="22"/>
          <w:szCs w:val="22"/>
          <w:lang w:eastAsia="en-US"/>
        </w:rPr>
        <w:t>Retroexcavadoras</w:t>
      </w:r>
      <w:r w:rsidR="008A6B87">
        <w:rPr>
          <w:rFonts w:ascii="Arial" w:eastAsia="Calibri" w:hAnsi="Arial" w:cs="Arial"/>
          <w:bCs/>
          <w:sz w:val="22"/>
          <w:szCs w:val="22"/>
          <w:lang w:eastAsia="en-US"/>
        </w:rPr>
        <w:t>;</w:t>
      </w:r>
    </w:p>
    <w:p w:rsidR="00E14CA6" w:rsidRPr="00E14CA6" w:rsidRDefault="00E14CA6" w:rsidP="00E14CA6">
      <w:pPr>
        <w:pStyle w:val="Prrafodelista"/>
        <w:numPr>
          <w:ilvl w:val="0"/>
          <w:numId w:val="4"/>
        </w:numPr>
        <w:jc w:val="both"/>
        <w:rPr>
          <w:rFonts w:ascii="Arial" w:eastAsia="Calibri" w:hAnsi="Arial" w:cs="Arial"/>
          <w:bCs/>
          <w:sz w:val="22"/>
          <w:szCs w:val="22"/>
          <w:lang w:eastAsia="en-US"/>
        </w:rPr>
      </w:pPr>
      <w:r w:rsidRPr="00E14CA6">
        <w:rPr>
          <w:rFonts w:ascii="Arial" w:eastAsia="Calibri" w:hAnsi="Arial" w:cs="Arial"/>
          <w:bCs/>
          <w:sz w:val="22"/>
          <w:szCs w:val="22"/>
          <w:lang w:eastAsia="en-US"/>
        </w:rPr>
        <w:t>Tractores</w:t>
      </w:r>
      <w:r w:rsidR="008A6B87">
        <w:rPr>
          <w:rFonts w:ascii="Arial" w:eastAsia="Calibri" w:hAnsi="Arial" w:cs="Arial"/>
          <w:bCs/>
          <w:sz w:val="22"/>
          <w:szCs w:val="22"/>
          <w:lang w:eastAsia="en-US"/>
        </w:rPr>
        <w:t>; y</w:t>
      </w:r>
    </w:p>
    <w:p w:rsidR="00E14CA6" w:rsidRPr="00E14CA6" w:rsidRDefault="00E14CA6" w:rsidP="00E14CA6">
      <w:pPr>
        <w:pStyle w:val="Prrafodelista"/>
        <w:numPr>
          <w:ilvl w:val="0"/>
          <w:numId w:val="4"/>
        </w:numPr>
        <w:jc w:val="both"/>
        <w:rPr>
          <w:rFonts w:ascii="Arial" w:eastAsia="Calibri" w:hAnsi="Arial" w:cs="Arial"/>
          <w:bCs/>
          <w:sz w:val="22"/>
          <w:szCs w:val="22"/>
          <w:lang w:eastAsia="en-US"/>
        </w:rPr>
      </w:pPr>
      <w:r w:rsidRPr="00E14CA6">
        <w:rPr>
          <w:rFonts w:ascii="Arial" w:eastAsia="Calibri" w:hAnsi="Arial" w:cs="Arial"/>
          <w:bCs/>
          <w:sz w:val="22"/>
          <w:szCs w:val="22"/>
          <w:lang w:eastAsia="en-US"/>
        </w:rPr>
        <w:t>Otras infraestructuras y equipamiento social</w:t>
      </w:r>
      <w:r w:rsidR="008A6B87">
        <w:rPr>
          <w:rFonts w:ascii="Arial" w:eastAsia="Calibri" w:hAnsi="Arial" w:cs="Arial"/>
          <w:bCs/>
          <w:sz w:val="22"/>
          <w:szCs w:val="22"/>
          <w:lang w:eastAsia="en-US"/>
        </w:rPr>
        <w:t>.</w:t>
      </w:r>
    </w:p>
    <w:p w:rsidR="00E14CA6" w:rsidRPr="00E14CA6" w:rsidRDefault="00E14CA6" w:rsidP="00E14CA6">
      <w:pPr>
        <w:rPr>
          <w:rFonts w:ascii="Arial" w:eastAsia="Calibri" w:hAnsi="Arial" w:cs="Arial"/>
          <w:bCs/>
        </w:rPr>
      </w:pPr>
    </w:p>
    <w:p w:rsidR="00E14CA6" w:rsidRPr="008A6B87" w:rsidRDefault="00E14CA6" w:rsidP="00E14CA6">
      <w:pPr>
        <w:spacing w:after="0"/>
        <w:jc w:val="center"/>
        <w:rPr>
          <w:rFonts w:ascii="Arial" w:eastAsia="Calibri" w:hAnsi="Arial" w:cs="Arial"/>
          <w:b/>
          <w:bCs/>
        </w:rPr>
      </w:pPr>
      <w:r w:rsidRPr="008A6B87">
        <w:rPr>
          <w:rFonts w:ascii="Arial" w:eastAsia="Calibri" w:hAnsi="Arial" w:cs="Arial"/>
          <w:b/>
          <w:bCs/>
        </w:rPr>
        <w:t>Capítulo IV</w:t>
      </w:r>
    </w:p>
    <w:p w:rsidR="00E14CA6" w:rsidRPr="00E14CA6" w:rsidRDefault="00E14CA6" w:rsidP="00E14CA6">
      <w:pPr>
        <w:spacing w:after="0"/>
        <w:jc w:val="center"/>
        <w:rPr>
          <w:rFonts w:ascii="Arial" w:eastAsia="Calibri" w:hAnsi="Arial" w:cs="Arial"/>
          <w:bCs/>
        </w:rPr>
      </w:pPr>
      <w:r w:rsidRPr="008A6B87">
        <w:rPr>
          <w:rFonts w:ascii="Arial" w:eastAsia="Calibri" w:hAnsi="Arial" w:cs="Arial"/>
          <w:b/>
          <w:bCs/>
        </w:rPr>
        <w:t xml:space="preserve">Registro de </w:t>
      </w:r>
      <w:r w:rsidR="00876B52">
        <w:rPr>
          <w:rFonts w:ascii="Arial" w:eastAsia="Calibri" w:hAnsi="Arial" w:cs="Arial"/>
          <w:b/>
          <w:bCs/>
        </w:rPr>
        <w:t xml:space="preserve">Proyectos de </w:t>
      </w:r>
      <w:r w:rsidRPr="008A6B87">
        <w:rPr>
          <w:rFonts w:ascii="Arial" w:eastAsia="Calibri" w:hAnsi="Arial" w:cs="Arial"/>
          <w:b/>
          <w:bCs/>
        </w:rPr>
        <w:t>Inversión</w:t>
      </w:r>
      <w:r w:rsidR="00876B52">
        <w:rPr>
          <w:rFonts w:ascii="Arial" w:eastAsia="Calibri" w:hAnsi="Arial" w:cs="Arial"/>
          <w:b/>
          <w:bCs/>
        </w:rPr>
        <w:t xml:space="preserve"> Pública en el Sistema de Inversión</w:t>
      </w:r>
    </w:p>
    <w:p w:rsidR="00E14CA6" w:rsidRPr="00E14CA6" w:rsidRDefault="00E14CA6" w:rsidP="00E14CA6">
      <w:pPr>
        <w:spacing w:after="0"/>
        <w:jc w:val="center"/>
        <w:rPr>
          <w:rFonts w:ascii="Arial" w:eastAsia="Calibri" w:hAnsi="Arial" w:cs="Arial"/>
          <w:bCs/>
        </w:rPr>
      </w:pPr>
    </w:p>
    <w:p w:rsidR="00E14CA6" w:rsidRPr="00E14CA6" w:rsidRDefault="00E14CA6" w:rsidP="00E14CA6">
      <w:pPr>
        <w:pStyle w:val="Prrafodelista"/>
        <w:numPr>
          <w:ilvl w:val="0"/>
          <w:numId w:val="1"/>
        </w:numPr>
        <w:ind w:left="284" w:hanging="284"/>
        <w:jc w:val="both"/>
        <w:rPr>
          <w:rFonts w:ascii="Arial" w:eastAsia="Calibri" w:hAnsi="Arial" w:cs="Arial"/>
          <w:bCs/>
          <w:sz w:val="22"/>
          <w:szCs w:val="22"/>
          <w:lang w:eastAsia="en-US"/>
        </w:rPr>
      </w:pPr>
      <w:r w:rsidRPr="00E14CA6">
        <w:rPr>
          <w:rFonts w:ascii="Arial" w:eastAsia="Calibri" w:hAnsi="Arial" w:cs="Arial"/>
          <w:bCs/>
          <w:sz w:val="22"/>
          <w:szCs w:val="22"/>
          <w:lang w:eastAsia="en-US"/>
        </w:rPr>
        <w:t>L</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s Ejecutor</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s de gasto deberán solicitar ante la Secretaría de Finanzas el usuario y contraseña del Sistema de Inversión para proceder al registro de sus Proyectos de Inversión</w:t>
      </w:r>
      <w:r w:rsidR="00A25804">
        <w:rPr>
          <w:rFonts w:ascii="Arial" w:eastAsia="Calibri" w:hAnsi="Arial" w:cs="Arial"/>
          <w:bCs/>
          <w:sz w:val="22"/>
          <w:szCs w:val="22"/>
          <w:lang w:eastAsia="en-US"/>
        </w:rPr>
        <w:t xml:space="preserve"> Pública</w:t>
      </w:r>
      <w:r w:rsidRPr="00E14CA6">
        <w:rPr>
          <w:rFonts w:ascii="Arial" w:eastAsia="Calibri" w:hAnsi="Arial" w:cs="Arial"/>
          <w:bCs/>
          <w:sz w:val="22"/>
          <w:szCs w:val="22"/>
          <w:lang w:eastAsia="en-US"/>
        </w:rPr>
        <w:t>.</w:t>
      </w:r>
    </w:p>
    <w:p w:rsidR="00E14CA6" w:rsidRPr="00E14CA6" w:rsidRDefault="00E14CA6" w:rsidP="00E14CA6">
      <w:pPr>
        <w:pStyle w:val="Prrafodelista"/>
        <w:ind w:left="284"/>
        <w:jc w:val="both"/>
        <w:rPr>
          <w:rFonts w:ascii="Arial" w:eastAsia="Calibri" w:hAnsi="Arial" w:cs="Arial"/>
          <w:bCs/>
          <w:sz w:val="22"/>
          <w:szCs w:val="22"/>
          <w:lang w:eastAsia="en-US"/>
        </w:rPr>
      </w:pPr>
    </w:p>
    <w:p w:rsidR="00E14CA6" w:rsidRPr="00E14CA6" w:rsidRDefault="00E14CA6" w:rsidP="00E14CA6">
      <w:pPr>
        <w:pStyle w:val="Prrafodelista"/>
        <w:numPr>
          <w:ilvl w:val="0"/>
          <w:numId w:val="1"/>
        </w:numPr>
        <w:ind w:left="284" w:hanging="284"/>
        <w:jc w:val="both"/>
        <w:rPr>
          <w:rFonts w:ascii="Arial" w:eastAsia="Calibri" w:hAnsi="Arial" w:cs="Arial"/>
          <w:bCs/>
          <w:sz w:val="22"/>
          <w:szCs w:val="22"/>
          <w:lang w:eastAsia="en-US"/>
        </w:rPr>
      </w:pPr>
      <w:r w:rsidRPr="00E14CA6">
        <w:rPr>
          <w:rFonts w:ascii="Arial" w:eastAsia="Calibri" w:hAnsi="Arial" w:cs="Arial"/>
          <w:bCs/>
          <w:sz w:val="22"/>
          <w:szCs w:val="22"/>
          <w:lang w:eastAsia="en-US"/>
        </w:rPr>
        <w:t>A solicitud del Ejecutor de</w:t>
      </w:r>
      <w:r w:rsidR="006C756A">
        <w:rPr>
          <w:rFonts w:ascii="Arial" w:eastAsia="Calibri" w:hAnsi="Arial" w:cs="Arial"/>
          <w:bCs/>
          <w:sz w:val="22"/>
          <w:szCs w:val="22"/>
          <w:lang w:eastAsia="en-US"/>
        </w:rPr>
        <w:t>l</w:t>
      </w:r>
      <w:r w:rsidRPr="00E14CA6">
        <w:rPr>
          <w:rFonts w:ascii="Arial" w:eastAsia="Calibri" w:hAnsi="Arial" w:cs="Arial"/>
          <w:bCs/>
          <w:sz w:val="22"/>
          <w:szCs w:val="22"/>
          <w:lang w:eastAsia="en-US"/>
        </w:rPr>
        <w:t xml:space="preserve"> gasto, la Secretaría de Finanzas brindará acompañamiento técnico y capacitación en los temas relacionados al proceso de inversión pública.</w:t>
      </w:r>
    </w:p>
    <w:p w:rsidR="00E14CA6" w:rsidRPr="00E14CA6" w:rsidRDefault="00E14CA6" w:rsidP="00E14CA6">
      <w:pPr>
        <w:jc w:val="both"/>
        <w:rPr>
          <w:rFonts w:ascii="Arial" w:eastAsia="Calibri" w:hAnsi="Arial" w:cs="Arial"/>
          <w:bCs/>
        </w:rPr>
      </w:pPr>
    </w:p>
    <w:p w:rsidR="00E14CA6" w:rsidRPr="00E14CA6" w:rsidRDefault="00E14CA6" w:rsidP="00E14CA6">
      <w:pPr>
        <w:pStyle w:val="Prrafodelista"/>
        <w:numPr>
          <w:ilvl w:val="0"/>
          <w:numId w:val="1"/>
        </w:numPr>
        <w:ind w:left="284" w:hanging="284"/>
        <w:jc w:val="both"/>
        <w:rPr>
          <w:rFonts w:ascii="Arial" w:eastAsia="Calibri" w:hAnsi="Arial" w:cs="Arial"/>
          <w:bCs/>
          <w:sz w:val="22"/>
          <w:szCs w:val="22"/>
          <w:lang w:eastAsia="en-US"/>
        </w:rPr>
      </w:pPr>
      <w:r w:rsidRPr="00E14CA6">
        <w:rPr>
          <w:rFonts w:ascii="Arial" w:eastAsia="Calibri" w:hAnsi="Arial" w:cs="Arial"/>
          <w:bCs/>
          <w:sz w:val="22"/>
          <w:szCs w:val="22"/>
          <w:lang w:eastAsia="en-US"/>
        </w:rPr>
        <w:t>La totalidad de los Proyectos de Inversión</w:t>
      </w:r>
      <w:r w:rsidR="006C756A">
        <w:rPr>
          <w:rFonts w:ascii="Arial" w:eastAsia="Calibri" w:hAnsi="Arial" w:cs="Arial"/>
          <w:bCs/>
          <w:sz w:val="22"/>
          <w:szCs w:val="22"/>
          <w:lang w:eastAsia="en-US"/>
        </w:rPr>
        <w:t xml:space="preserve"> Pública</w:t>
      </w:r>
      <w:r w:rsidRPr="00E14CA6">
        <w:rPr>
          <w:rFonts w:ascii="Arial" w:eastAsia="Calibri" w:hAnsi="Arial" w:cs="Arial"/>
          <w:bCs/>
          <w:sz w:val="22"/>
          <w:szCs w:val="22"/>
          <w:lang w:eastAsia="en-US"/>
        </w:rPr>
        <w:t xml:space="preserve"> deberán ser debidamente formulados utilizando la Metodología de Marco Lógico y capturados en el Sistema de Inversión hasta completar los procesos de: registro de propuestas, desglose de componentes, viabilización y dictaminación por parte de la Subsecretaría de Planeación e Inversión Pública.</w:t>
      </w:r>
    </w:p>
    <w:p w:rsidR="00E14CA6" w:rsidRPr="00E14CA6" w:rsidRDefault="00E14CA6" w:rsidP="00E14CA6">
      <w:pPr>
        <w:jc w:val="both"/>
        <w:rPr>
          <w:rFonts w:ascii="Arial" w:eastAsia="Calibri" w:hAnsi="Arial" w:cs="Arial"/>
          <w:bCs/>
        </w:rPr>
      </w:pPr>
    </w:p>
    <w:p w:rsidR="00E14CA6" w:rsidRPr="00E14CA6" w:rsidRDefault="00E14CA6" w:rsidP="00E14CA6">
      <w:pPr>
        <w:pStyle w:val="Prrafodelista"/>
        <w:numPr>
          <w:ilvl w:val="0"/>
          <w:numId w:val="1"/>
        </w:numPr>
        <w:ind w:left="284" w:hanging="284"/>
        <w:jc w:val="both"/>
        <w:rPr>
          <w:rFonts w:ascii="Arial" w:eastAsia="Calibri" w:hAnsi="Arial" w:cs="Arial"/>
          <w:bCs/>
          <w:sz w:val="22"/>
          <w:szCs w:val="22"/>
          <w:lang w:eastAsia="en-US"/>
        </w:rPr>
      </w:pPr>
      <w:r w:rsidRPr="00E14CA6">
        <w:rPr>
          <w:rFonts w:ascii="Arial" w:eastAsia="Calibri" w:hAnsi="Arial" w:cs="Arial"/>
          <w:bCs/>
          <w:sz w:val="22"/>
          <w:szCs w:val="22"/>
          <w:lang w:eastAsia="en-US"/>
        </w:rPr>
        <w:t>Una vez que l</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s Ejecutor</w:t>
      </w:r>
      <w:r w:rsidR="003A6A62">
        <w:rPr>
          <w:rFonts w:ascii="Arial" w:eastAsia="Calibri" w:hAnsi="Arial" w:cs="Arial"/>
          <w:bCs/>
          <w:sz w:val="22"/>
          <w:szCs w:val="22"/>
          <w:lang w:eastAsia="en-US"/>
        </w:rPr>
        <w:t>a</w:t>
      </w:r>
      <w:r w:rsidR="006C756A">
        <w:rPr>
          <w:rFonts w:ascii="Arial" w:eastAsia="Calibri" w:hAnsi="Arial" w:cs="Arial"/>
          <w:bCs/>
          <w:sz w:val="22"/>
          <w:szCs w:val="22"/>
          <w:lang w:eastAsia="en-US"/>
        </w:rPr>
        <w:t>s de</w:t>
      </w:r>
      <w:r w:rsidR="0061216D">
        <w:rPr>
          <w:rFonts w:ascii="Arial" w:eastAsia="Calibri" w:hAnsi="Arial" w:cs="Arial"/>
          <w:bCs/>
          <w:sz w:val="22"/>
          <w:szCs w:val="22"/>
          <w:lang w:eastAsia="en-US"/>
        </w:rPr>
        <w:t>l</w:t>
      </w:r>
      <w:r w:rsidR="006C756A">
        <w:rPr>
          <w:rFonts w:ascii="Arial" w:eastAsia="Calibri" w:hAnsi="Arial" w:cs="Arial"/>
          <w:bCs/>
          <w:sz w:val="22"/>
          <w:szCs w:val="22"/>
          <w:lang w:eastAsia="en-US"/>
        </w:rPr>
        <w:t xml:space="preserve"> gasto ingresen lo</w:t>
      </w:r>
      <w:r w:rsidRPr="00E14CA6">
        <w:rPr>
          <w:rFonts w:ascii="Arial" w:eastAsia="Calibri" w:hAnsi="Arial" w:cs="Arial"/>
          <w:bCs/>
          <w:sz w:val="22"/>
          <w:szCs w:val="22"/>
          <w:lang w:eastAsia="en-US"/>
        </w:rPr>
        <w:t xml:space="preserve">s </w:t>
      </w:r>
      <w:r w:rsidR="006C756A">
        <w:rPr>
          <w:rFonts w:ascii="Arial" w:eastAsia="Calibri" w:hAnsi="Arial" w:cs="Arial"/>
          <w:bCs/>
          <w:sz w:val="22"/>
          <w:szCs w:val="22"/>
          <w:lang w:eastAsia="en-US"/>
        </w:rPr>
        <w:t>P</w:t>
      </w:r>
      <w:r w:rsidRPr="00E14CA6">
        <w:rPr>
          <w:rFonts w:ascii="Arial" w:eastAsia="Calibri" w:hAnsi="Arial" w:cs="Arial"/>
          <w:bCs/>
          <w:sz w:val="22"/>
          <w:szCs w:val="22"/>
          <w:lang w:eastAsia="en-US"/>
        </w:rPr>
        <w:t>royectos</w:t>
      </w:r>
      <w:r w:rsidR="006C756A">
        <w:rPr>
          <w:rFonts w:ascii="Arial" w:eastAsia="Calibri" w:hAnsi="Arial" w:cs="Arial"/>
          <w:bCs/>
          <w:sz w:val="22"/>
          <w:szCs w:val="22"/>
          <w:lang w:eastAsia="en-US"/>
        </w:rPr>
        <w:t xml:space="preserve"> de Inversión Pública</w:t>
      </w:r>
      <w:r w:rsidRPr="00E14CA6">
        <w:rPr>
          <w:rFonts w:ascii="Arial" w:eastAsia="Calibri" w:hAnsi="Arial" w:cs="Arial"/>
          <w:bCs/>
          <w:sz w:val="22"/>
          <w:szCs w:val="22"/>
          <w:lang w:eastAsia="en-US"/>
        </w:rPr>
        <w:t xml:space="preserve">, la Subsecretaría de Planeación e Inversión Pública realizará la revisión de los mismos atendiendo a su alineación con los instrumentos de planeación </w:t>
      </w:r>
      <w:r w:rsidR="006C756A">
        <w:rPr>
          <w:rFonts w:ascii="Arial" w:eastAsia="Calibri" w:hAnsi="Arial" w:cs="Arial"/>
          <w:bCs/>
          <w:sz w:val="22"/>
          <w:szCs w:val="22"/>
          <w:lang w:eastAsia="en-US"/>
        </w:rPr>
        <w:t>N</w:t>
      </w:r>
      <w:r w:rsidRPr="00E14CA6">
        <w:rPr>
          <w:rFonts w:ascii="Arial" w:eastAsia="Calibri" w:hAnsi="Arial" w:cs="Arial"/>
          <w:bCs/>
          <w:sz w:val="22"/>
          <w:szCs w:val="22"/>
          <w:lang w:eastAsia="en-US"/>
        </w:rPr>
        <w:t xml:space="preserve">acional y </w:t>
      </w:r>
      <w:r w:rsidR="006C756A">
        <w:rPr>
          <w:rFonts w:ascii="Arial" w:eastAsia="Calibri" w:hAnsi="Arial" w:cs="Arial"/>
          <w:bCs/>
          <w:sz w:val="22"/>
          <w:szCs w:val="22"/>
          <w:lang w:eastAsia="en-US"/>
        </w:rPr>
        <w:t>E</w:t>
      </w:r>
      <w:r w:rsidRPr="00E14CA6">
        <w:rPr>
          <w:rFonts w:ascii="Arial" w:eastAsia="Calibri" w:hAnsi="Arial" w:cs="Arial"/>
          <w:bCs/>
          <w:sz w:val="22"/>
          <w:szCs w:val="22"/>
          <w:lang w:eastAsia="en-US"/>
        </w:rPr>
        <w:t>statal, problemática y objetivos, así como la consistencia y la calidad de la información.</w:t>
      </w:r>
    </w:p>
    <w:p w:rsidR="00E14CA6" w:rsidRPr="00E14CA6" w:rsidRDefault="00E14CA6" w:rsidP="00E14CA6">
      <w:pPr>
        <w:jc w:val="both"/>
        <w:rPr>
          <w:rFonts w:ascii="Arial" w:eastAsia="Calibri" w:hAnsi="Arial" w:cs="Arial"/>
          <w:bCs/>
        </w:rPr>
      </w:pPr>
    </w:p>
    <w:p w:rsidR="00E14CA6" w:rsidRPr="00E14CA6" w:rsidRDefault="00E14CA6" w:rsidP="00E14CA6">
      <w:pPr>
        <w:pStyle w:val="Prrafodelista"/>
        <w:numPr>
          <w:ilvl w:val="0"/>
          <w:numId w:val="1"/>
        </w:numPr>
        <w:ind w:left="284" w:hanging="284"/>
        <w:jc w:val="both"/>
        <w:rPr>
          <w:rFonts w:ascii="Arial" w:eastAsia="Calibri" w:hAnsi="Arial" w:cs="Arial"/>
          <w:bCs/>
          <w:sz w:val="22"/>
          <w:szCs w:val="22"/>
          <w:lang w:eastAsia="en-US"/>
        </w:rPr>
      </w:pPr>
      <w:r w:rsidRPr="00E14CA6">
        <w:rPr>
          <w:rFonts w:ascii="Arial" w:eastAsia="Calibri" w:hAnsi="Arial" w:cs="Arial"/>
          <w:bCs/>
          <w:sz w:val="22"/>
          <w:szCs w:val="22"/>
          <w:lang w:eastAsia="en-US"/>
        </w:rPr>
        <w:t>La Secretaría de Finanzas informará a l</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s Ejecutor</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s de</w:t>
      </w:r>
      <w:r w:rsidR="00492471">
        <w:rPr>
          <w:rFonts w:ascii="Arial" w:eastAsia="Calibri" w:hAnsi="Arial" w:cs="Arial"/>
          <w:bCs/>
          <w:sz w:val="22"/>
          <w:szCs w:val="22"/>
          <w:lang w:eastAsia="en-US"/>
        </w:rPr>
        <w:t>l</w:t>
      </w:r>
      <w:r w:rsidRPr="00E14CA6">
        <w:rPr>
          <w:rFonts w:ascii="Arial" w:eastAsia="Calibri" w:hAnsi="Arial" w:cs="Arial"/>
          <w:bCs/>
          <w:sz w:val="22"/>
          <w:szCs w:val="22"/>
          <w:lang w:eastAsia="en-US"/>
        </w:rPr>
        <w:t xml:space="preserve"> gasto a través del Sistema </w:t>
      </w:r>
      <w:r w:rsidR="00492471">
        <w:rPr>
          <w:rFonts w:ascii="Arial" w:eastAsia="Calibri" w:hAnsi="Arial" w:cs="Arial"/>
          <w:bCs/>
          <w:sz w:val="22"/>
          <w:szCs w:val="22"/>
          <w:lang w:eastAsia="en-US"/>
        </w:rPr>
        <w:t>de Inversión que el registro de los P</w:t>
      </w:r>
      <w:r w:rsidRPr="00E14CA6">
        <w:rPr>
          <w:rFonts w:ascii="Arial" w:eastAsia="Calibri" w:hAnsi="Arial" w:cs="Arial"/>
          <w:bCs/>
          <w:sz w:val="22"/>
          <w:szCs w:val="22"/>
          <w:lang w:eastAsia="en-US"/>
        </w:rPr>
        <w:t xml:space="preserve">royectos </w:t>
      </w:r>
      <w:r w:rsidR="00492471">
        <w:rPr>
          <w:rFonts w:ascii="Arial" w:eastAsia="Calibri" w:hAnsi="Arial" w:cs="Arial"/>
          <w:bCs/>
          <w:sz w:val="22"/>
          <w:szCs w:val="22"/>
          <w:lang w:eastAsia="en-US"/>
        </w:rPr>
        <w:t xml:space="preserve">de Inversión Pública </w:t>
      </w:r>
      <w:r w:rsidRPr="00E14CA6">
        <w:rPr>
          <w:rFonts w:ascii="Arial" w:eastAsia="Calibri" w:hAnsi="Arial" w:cs="Arial"/>
          <w:bCs/>
          <w:sz w:val="22"/>
          <w:szCs w:val="22"/>
          <w:lang w:eastAsia="en-US"/>
        </w:rPr>
        <w:t>cumplen con los criterios mínimos establecidos. En caso de presentar inconsistencias, l</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s Ejecutor</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s de</w:t>
      </w:r>
      <w:r w:rsidR="00492471">
        <w:rPr>
          <w:rFonts w:ascii="Arial" w:eastAsia="Calibri" w:hAnsi="Arial" w:cs="Arial"/>
          <w:bCs/>
          <w:sz w:val="22"/>
          <w:szCs w:val="22"/>
          <w:lang w:eastAsia="en-US"/>
        </w:rPr>
        <w:t>l</w:t>
      </w:r>
      <w:r w:rsidRPr="00E14CA6">
        <w:rPr>
          <w:rFonts w:ascii="Arial" w:eastAsia="Calibri" w:hAnsi="Arial" w:cs="Arial"/>
          <w:bCs/>
          <w:sz w:val="22"/>
          <w:szCs w:val="22"/>
          <w:lang w:eastAsia="en-US"/>
        </w:rPr>
        <w:t xml:space="preserve"> gasto deberán solventarlas. </w:t>
      </w:r>
    </w:p>
    <w:p w:rsidR="00E14CA6" w:rsidRPr="00E14CA6" w:rsidRDefault="00E14CA6" w:rsidP="00E14CA6">
      <w:pPr>
        <w:jc w:val="both"/>
        <w:rPr>
          <w:rFonts w:ascii="Arial" w:eastAsia="Calibri" w:hAnsi="Arial" w:cs="Arial"/>
          <w:bCs/>
        </w:rPr>
      </w:pPr>
    </w:p>
    <w:p w:rsidR="00E14CA6" w:rsidRPr="00E14CA6" w:rsidRDefault="00E14CA6" w:rsidP="00E14CA6">
      <w:pPr>
        <w:pStyle w:val="Prrafodelista"/>
        <w:numPr>
          <w:ilvl w:val="0"/>
          <w:numId w:val="1"/>
        </w:numPr>
        <w:ind w:left="284" w:hanging="284"/>
        <w:jc w:val="both"/>
        <w:rPr>
          <w:rFonts w:ascii="Arial" w:eastAsia="Calibri" w:hAnsi="Arial" w:cs="Arial"/>
          <w:bCs/>
          <w:sz w:val="22"/>
          <w:szCs w:val="22"/>
          <w:lang w:eastAsia="en-US"/>
        </w:rPr>
      </w:pPr>
      <w:r w:rsidRPr="00E14CA6">
        <w:rPr>
          <w:rFonts w:ascii="Arial" w:eastAsia="Calibri" w:hAnsi="Arial" w:cs="Arial"/>
          <w:bCs/>
          <w:sz w:val="22"/>
          <w:szCs w:val="22"/>
          <w:lang w:eastAsia="en-US"/>
        </w:rPr>
        <w:t xml:space="preserve">Ingresado el registro del </w:t>
      </w:r>
      <w:r w:rsidR="00000DDA">
        <w:rPr>
          <w:rFonts w:ascii="Arial" w:eastAsia="Calibri" w:hAnsi="Arial" w:cs="Arial"/>
          <w:bCs/>
          <w:sz w:val="22"/>
          <w:szCs w:val="22"/>
          <w:lang w:eastAsia="en-US"/>
        </w:rPr>
        <w:t>P</w:t>
      </w:r>
      <w:r w:rsidRPr="00E14CA6">
        <w:rPr>
          <w:rFonts w:ascii="Arial" w:eastAsia="Calibri" w:hAnsi="Arial" w:cs="Arial"/>
          <w:bCs/>
          <w:sz w:val="22"/>
          <w:szCs w:val="22"/>
          <w:lang w:eastAsia="en-US"/>
        </w:rPr>
        <w:t>royecto</w:t>
      </w:r>
      <w:r w:rsidR="00000DDA">
        <w:rPr>
          <w:rFonts w:ascii="Arial" w:eastAsia="Calibri" w:hAnsi="Arial" w:cs="Arial"/>
          <w:bCs/>
          <w:sz w:val="22"/>
          <w:szCs w:val="22"/>
          <w:lang w:eastAsia="en-US"/>
        </w:rPr>
        <w:t xml:space="preserve"> de Inversión Pública</w:t>
      </w:r>
      <w:r w:rsidRPr="00E14CA6">
        <w:rPr>
          <w:rFonts w:ascii="Arial" w:eastAsia="Calibri" w:hAnsi="Arial" w:cs="Arial"/>
          <w:bCs/>
          <w:sz w:val="22"/>
          <w:szCs w:val="22"/>
          <w:lang w:eastAsia="en-US"/>
        </w:rPr>
        <w:t xml:space="preserve">, de acuerdo con la metodología del Marco Lógico, deberán desglosarse los componentes en congruencia </w:t>
      </w:r>
      <w:r w:rsidRPr="00E14CA6">
        <w:rPr>
          <w:rFonts w:ascii="Arial" w:eastAsia="Calibri" w:hAnsi="Arial" w:cs="Arial"/>
          <w:bCs/>
          <w:sz w:val="22"/>
          <w:szCs w:val="22"/>
          <w:lang w:eastAsia="en-US"/>
        </w:rPr>
        <w:lastRenderedPageBreak/>
        <w:t>con los objetivos del Proyecto de Inversión. Registrados los componentes, l</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s Ejecutor</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s de</w:t>
      </w:r>
      <w:r w:rsidR="00B40F5B">
        <w:rPr>
          <w:rFonts w:ascii="Arial" w:eastAsia="Calibri" w:hAnsi="Arial" w:cs="Arial"/>
          <w:bCs/>
          <w:sz w:val="22"/>
          <w:szCs w:val="22"/>
          <w:lang w:eastAsia="en-US"/>
        </w:rPr>
        <w:t>l</w:t>
      </w:r>
      <w:r w:rsidRPr="00E14CA6">
        <w:rPr>
          <w:rFonts w:ascii="Arial" w:eastAsia="Calibri" w:hAnsi="Arial" w:cs="Arial"/>
          <w:bCs/>
          <w:sz w:val="22"/>
          <w:szCs w:val="22"/>
          <w:lang w:eastAsia="en-US"/>
        </w:rPr>
        <w:t xml:space="preserve"> gasto identificarán y registrarán las factibilidades requeridas para su viabilización e ingreso al Banco de Proyectos, con base en la naturaleza de cada componente.</w:t>
      </w:r>
    </w:p>
    <w:p w:rsidR="00E14CA6" w:rsidRPr="00E14CA6" w:rsidRDefault="00E14CA6" w:rsidP="00E14CA6">
      <w:pPr>
        <w:jc w:val="both"/>
        <w:rPr>
          <w:rFonts w:ascii="Arial" w:eastAsia="Calibri" w:hAnsi="Arial" w:cs="Arial"/>
          <w:bCs/>
        </w:rPr>
      </w:pPr>
    </w:p>
    <w:p w:rsidR="00E14CA6" w:rsidRPr="00E14CA6" w:rsidRDefault="00E14CA6" w:rsidP="00E14CA6">
      <w:pPr>
        <w:pStyle w:val="Prrafodelista"/>
        <w:numPr>
          <w:ilvl w:val="0"/>
          <w:numId w:val="1"/>
        </w:numPr>
        <w:ind w:left="284" w:hanging="284"/>
        <w:jc w:val="both"/>
        <w:rPr>
          <w:rFonts w:ascii="Arial" w:eastAsia="Calibri" w:hAnsi="Arial" w:cs="Arial"/>
          <w:bCs/>
          <w:sz w:val="22"/>
          <w:szCs w:val="22"/>
          <w:lang w:eastAsia="en-US"/>
        </w:rPr>
      </w:pPr>
      <w:r w:rsidRPr="00E14CA6">
        <w:rPr>
          <w:rFonts w:ascii="Arial" w:eastAsia="Calibri" w:hAnsi="Arial" w:cs="Arial"/>
          <w:bCs/>
          <w:sz w:val="22"/>
          <w:szCs w:val="22"/>
          <w:lang w:eastAsia="en-US"/>
        </w:rPr>
        <w:t>El periodo para registrar propuestas se encontrará abierto a partir del mes de abril y hasta la fecha que la Secretaría de Finanzas notifique oficialmente a l</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s Ejecutor</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s de</w:t>
      </w:r>
      <w:r w:rsidR="002701E7">
        <w:rPr>
          <w:rFonts w:ascii="Arial" w:eastAsia="Calibri" w:hAnsi="Arial" w:cs="Arial"/>
          <w:bCs/>
          <w:sz w:val="22"/>
          <w:szCs w:val="22"/>
          <w:lang w:eastAsia="en-US"/>
        </w:rPr>
        <w:t>l</w:t>
      </w:r>
      <w:r w:rsidRPr="00E14CA6">
        <w:rPr>
          <w:rFonts w:ascii="Arial" w:eastAsia="Calibri" w:hAnsi="Arial" w:cs="Arial"/>
          <w:bCs/>
          <w:sz w:val="22"/>
          <w:szCs w:val="22"/>
          <w:lang w:eastAsia="en-US"/>
        </w:rPr>
        <w:t xml:space="preserve"> gasto.</w:t>
      </w:r>
    </w:p>
    <w:p w:rsidR="00E14CA6" w:rsidRPr="00E14CA6" w:rsidRDefault="00E14CA6" w:rsidP="00E14CA6">
      <w:pPr>
        <w:pStyle w:val="Prrafodelista"/>
        <w:rPr>
          <w:rFonts w:ascii="Arial" w:eastAsia="Calibri" w:hAnsi="Arial" w:cs="Arial"/>
          <w:bCs/>
          <w:sz w:val="22"/>
          <w:szCs w:val="22"/>
          <w:lang w:eastAsia="en-US"/>
        </w:rPr>
      </w:pPr>
    </w:p>
    <w:p w:rsidR="00E14CA6" w:rsidRPr="00302593" w:rsidRDefault="00E14CA6" w:rsidP="00E14CA6">
      <w:pPr>
        <w:pStyle w:val="Prrafodelista"/>
        <w:ind w:left="426"/>
        <w:jc w:val="center"/>
        <w:rPr>
          <w:rFonts w:ascii="Arial" w:eastAsia="Calibri" w:hAnsi="Arial" w:cs="Arial"/>
          <w:b/>
          <w:bCs/>
          <w:sz w:val="22"/>
          <w:szCs w:val="22"/>
          <w:lang w:eastAsia="en-US"/>
        </w:rPr>
      </w:pPr>
      <w:r w:rsidRPr="00302593">
        <w:rPr>
          <w:rFonts w:ascii="Arial" w:eastAsia="Calibri" w:hAnsi="Arial" w:cs="Arial"/>
          <w:b/>
          <w:bCs/>
          <w:sz w:val="22"/>
          <w:szCs w:val="22"/>
          <w:lang w:eastAsia="en-US"/>
        </w:rPr>
        <w:t>Capítulo V</w:t>
      </w:r>
    </w:p>
    <w:p w:rsidR="00E14CA6" w:rsidRPr="00302593" w:rsidRDefault="002701E7" w:rsidP="00E14CA6">
      <w:pPr>
        <w:jc w:val="center"/>
        <w:rPr>
          <w:rFonts w:ascii="Arial" w:eastAsia="Calibri" w:hAnsi="Arial" w:cs="Arial"/>
          <w:b/>
          <w:bCs/>
        </w:rPr>
      </w:pPr>
      <w:r>
        <w:rPr>
          <w:rFonts w:ascii="Arial" w:eastAsia="Calibri" w:hAnsi="Arial" w:cs="Arial"/>
          <w:b/>
          <w:bCs/>
        </w:rPr>
        <w:t>Del Banco de Proyectos</w:t>
      </w:r>
    </w:p>
    <w:p w:rsidR="00E14CA6" w:rsidRPr="00E14CA6" w:rsidRDefault="00E14CA6" w:rsidP="00E14CA6">
      <w:pPr>
        <w:pStyle w:val="Prrafodelista"/>
        <w:numPr>
          <w:ilvl w:val="0"/>
          <w:numId w:val="1"/>
        </w:numPr>
        <w:ind w:left="284" w:hanging="284"/>
        <w:jc w:val="both"/>
        <w:rPr>
          <w:rFonts w:ascii="Arial" w:eastAsia="Calibri" w:hAnsi="Arial" w:cs="Arial"/>
          <w:bCs/>
          <w:sz w:val="22"/>
          <w:szCs w:val="22"/>
          <w:lang w:eastAsia="en-US"/>
        </w:rPr>
      </w:pPr>
      <w:r w:rsidRPr="00E14CA6">
        <w:rPr>
          <w:rFonts w:ascii="Arial" w:eastAsia="Calibri" w:hAnsi="Arial" w:cs="Arial"/>
          <w:bCs/>
          <w:sz w:val="22"/>
          <w:szCs w:val="22"/>
          <w:lang w:eastAsia="en-US"/>
        </w:rPr>
        <w:t xml:space="preserve">Una vez dictaminado y viabilizado el Proyecto de Inversión </w:t>
      </w:r>
      <w:r w:rsidR="005058EA">
        <w:rPr>
          <w:rFonts w:ascii="Arial" w:eastAsia="Calibri" w:hAnsi="Arial" w:cs="Arial"/>
          <w:bCs/>
          <w:sz w:val="22"/>
          <w:szCs w:val="22"/>
          <w:lang w:eastAsia="en-US"/>
        </w:rPr>
        <w:t xml:space="preserve">Pública </w:t>
      </w:r>
      <w:r w:rsidRPr="00E14CA6">
        <w:rPr>
          <w:rFonts w:ascii="Arial" w:eastAsia="Calibri" w:hAnsi="Arial" w:cs="Arial"/>
          <w:bCs/>
          <w:sz w:val="22"/>
          <w:szCs w:val="22"/>
          <w:lang w:eastAsia="en-US"/>
        </w:rPr>
        <w:t>en el Sistema de Inversión se aceptará en el Banco de Proyectos. La S</w:t>
      </w:r>
      <w:r w:rsidR="005058EA">
        <w:rPr>
          <w:rFonts w:ascii="Arial" w:eastAsia="Calibri" w:hAnsi="Arial" w:cs="Arial"/>
          <w:bCs/>
          <w:sz w:val="22"/>
          <w:szCs w:val="22"/>
          <w:lang w:eastAsia="en-US"/>
        </w:rPr>
        <w:t>ecretaría de Finanzas por conducto de la S</w:t>
      </w:r>
      <w:r w:rsidRPr="00E14CA6">
        <w:rPr>
          <w:rFonts w:ascii="Arial" w:eastAsia="Calibri" w:hAnsi="Arial" w:cs="Arial"/>
          <w:bCs/>
          <w:sz w:val="22"/>
          <w:szCs w:val="22"/>
          <w:lang w:eastAsia="en-US"/>
        </w:rPr>
        <w:t>ubsecretaría de Planeación e Inversión Pública notificará a l</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s Ejecutor</w:t>
      </w:r>
      <w:r w:rsidR="003A6A62">
        <w:rPr>
          <w:rFonts w:ascii="Arial" w:eastAsia="Calibri" w:hAnsi="Arial" w:cs="Arial"/>
          <w:bCs/>
          <w:sz w:val="22"/>
          <w:szCs w:val="22"/>
          <w:lang w:eastAsia="en-US"/>
        </w:rPr>
        <w:t>as</w:t>
      </w:r>
      <w:r w:rsidRPr="00E14CA6">
        <w:rPr>
          <w:rFonts w:ascii="Arial" w:eastAsia="Calibri" w:hAnsi="Arial" w:cs="Arial"/>
          <w:bCs/>
          <w:sz w:val="22"/>
          <w:szCs w:val="22"/>
          <w:lang w:eastAsia="en-US"/>
        </w:rPr>
        <w:t xml:space="preserve"> de</w:t>
      </w:r>
      <w:r w:rsidR="005058EA">
        <w:rPr>
          <w:rFonts w:ascii="Arial" w:eastAsia="Calibri" w:hAnsi="Arial" w:cs="Arial"/>
          <w:bCs/>
          <w:sz w:val="22"/>
          <w:szCs w:val="22"/>
          <w:lang w:eastAsia="en-US"/>
        </w:rPr>
        <w:t>l</w:t>
      </w:r>
      <w:r w:rsidRPr="00E14CA6">
        <w:rPr>
          <w:rFonts w:ascii="Arial" w:eastAsia="Calibri" w:hAnsi="Arial" w:cs="Arial"/>
          <w:bCs/>
          <w:sz w:val="22"/>
          <w:szCs w:val="22"/>
          <w:lang w:eastAsia="en-US"/>
        </w:rPr>
        <w:t xml:space="preserve"> gasto la fecha del ingreso al Banco de Proyectos a través del Sistema de Inversión. Todo Proyecto de Inversión </w:t>
      </w:r>
      <w:r w:rsidR="005058EA">
        <w:rPr>
          <w:rFonts w:ascii="Arial" w:eastAsia="Calibri" w:hAnsi="Arial" w:cs="Arial"/>
          <w:bCs/>
          <w:sz w:val="22"/>
          <w:szCs w:val="22"/>
          <w:lang w:eastAsia="en-US"/>
        </w:rPr>
        <w:t xml:space="preserve">Pública </w:t>
      </w:r>
      <w:r w:rsidRPr="00E14CA6">
        <w:rPr>
          <w:rFonts w:ascii="Arial" w:eastAsia="Calibri" w:hAnsi="Arial" w:cs="Arial"/>
          <w:bCs/>
          <w:sz w:val="22"/>
          <w:szCs w:val="22"/>
          <w:lang w:eastAsia="en-US"/>
        </w:rPr>
        <w:t xml:space="preserve">dictaminado será sujeto a la priorización y a la disponibilidad de recursos financieros. La vigencia y permanencia de un Proyecto de Inversión </w:t>
      </w:r>
      <w:r w:rsidR="005058EA">
        <w:rPr>
          <w:rFonts w:ascii="Arial" w:eastAsia="Calibri" w:hAnsi="Arial" w:cs="Arial"/>
          <w:bCs/>
          <w:sz w:val="22"/>
          <w:szCs w:val="22"/>
          <w:lang w:eastAsia="en-US"/>
        </w:rPr>
        <w:t xml:space="preserve">Pública </w:t>
      </w:r>
      <w:r w:rsidRPr="00E14CA6">
        <w:rPr>
          <w:rFonts w:ascii="Arial" w:eastAsia="Calibri" w:hAnsi="Arial" w:cs="Arial"/>
          <w:bCs/>
          <w:sz w:val="22"/>
          <w:szCs w:val="22"/>
          <w:lang w:eastAsia="en-US"/>
        </w:rPr>
        <w:t>en el Banco de Proyectos, no garantiza la cobertura de recursos financieros.</w:t>
      </w:r>
    </w:p>
    <w:p w:rsidR="00E14CA6" w:rsidRPr="00E14CA6" w:rsidRDefault="00E14CA6" w:rsidP="00E14CA6">
      <w:pPr>
        <w:pStyle w:val="Prrafodelista"/>
        <w:ind w:left="284"/>
        <w:jc w:val="both"/>
        <w:rPr>
          <w:rFonts w:ascii="Arial" w:eastAsia="Calibri" w:hAnsi="Arial" w:cs="Arial"/>
          <w:bCs/>
          <w:sz w:val="22"/>
          <w:szCs w:val="22"/>
          <w:lang w:eastAsia="en-US"/>
        </w:rPr>
      </w:pPr>
    </w:p>
    <w:p w:rsidR="00E14CA6" w:rsidRPr="00E14CA6" w:rsidRDefault="00E14CA6" w:rsidP="00E14CA6">
      <w:pPr>
        <w:pStyle w:val="Prrafodelista"/>
        <w:numPr>
          <w:ilvl w:val="0"/>
          <w:numId w:val="1"/>
        </w:numPr>
        <w:ind w:left="284" w:hanging="284"/>
        <w:jc w:val="both"/>
        <w:rPr>
          <w:rFonts w:ascii="Arial" w:eastAsia="Calibri" w:hAnsi="Arial" w:cs="Arial"/>
          <w:bCs/>
          <w:sz w:val="22"/>
          <w:szCs w:val="22"/>
          <w:lang w:eastAsia="en-US"/>
        </w:rPr>
      </w:pPr>
      <w:r w:rsidRPr="00E14CA6">
        <w:rPr>
          <w:rFonts w:ascii="Arial" w:eastAsia="Calibri" w:hAnsi="Arial" w:cs="Arial"/>
          <w:bCs/>
          <w:sz w:val="22"/>
          <w:szCs w:val="22"/>
          <w:lang w:eastAsia="en-US"/>
        </w:rPr>
        <w:t xml:space="preserve">La vigencia de los Proyectos de Inversión Pública aceptados en el Banco de Proyectos será de un año a partir de la fecha de notificación realizada en el Sistema de Inversión. No obstante, para aquellos cuya fuente de financiamiento sea </w:t>
      </w:r>
      <w:r w:rsidR="00F36B06">
        <w:rPr>
          <w:rFonts w:ascii="Arial" w:eastAsia="Calibri" w:hAnsi="Arial" w:cs="Arial"/>
          <w:bCs/>
          <w:sz w:val="22"/>
          <w:szCs w:val="22"/>
          <w:lang w:eastAsia="en-US"/>
        </w:rPr>
        <w:t>la Bolsa</w:t>
      </w:r>
      <w:r w:rsidRPr="00E14CA6">
        <w:rPr>
          <w:rFonts w:ascii="Arial" w:eastAsia="Calibri" w:hAnsi="Arial" w:cs="Arial"/>
          <w:bCs/>
          <w:sz w:val="22"/>
          <w:szCs w:val="22"/>
          <w:lang w:eastAsia="en-US"/>
        </w:rPr>
        <w:t>, se considerará el presente año fiscal siempre y cuando esté debidamente actualizado. Los Proyectos de Inversión Pública podrán cancelarse cuando no cumplan con los estándares metodológicos vigentes o las condiciones para su ejecución se hayan modificado.</w:t>
      </w:r>
    </w:p>
    <w:p w:rsidR="00E14CA6" w:rsidRPr="00E14CA6" w:rsidRDefault="00E14CA6" w:rsidP="00E14CA6">
      <w:pPr>
        <w:jc w:val="both"/>
        <w:rPr>
          <w:rFonts w:ascii="Arial" w:eastAsia="Calibri" w:hAnsi="Arial" w:cs="Arial"/>
          <w:bCs/>
        </w:rPr>
      </w:pPr>
    </w:p>
    <w:p w:rsidR="00E14CA6" w:rsidRPr="00E14CA6" w:rsidRDefault="00E14CA6" w:rsidP="00E14CA6">
      <w:pPr>
        <w:pStyle w:val="Prrafodelista"/>
        <w:numPr>
          <w:ilvl w:val="0"/>
          <w:numId w:val="1"/>
        </w:numPr>
        <w:ind w:left="284" w:hanging="284"/>
        <w:jc w:val="both"/>
        <w:rPr>
          <w:rFonts w:ascii="Arial" w:eastAsia="Calibri" w:hAnsi="Arial" w:cs="Arial"/>
          <w:bCs/>
          <w:sz w:val="22"/>
          <w:szCs w:val="22"/>
          <w:lang w:eastAsia="en-US"/>
        </w:rPr>
      </w:pPr>
      <w:r w:rsidRPr="00E14CA6">
        <w:rPr>
          <w:rFonts w:ascii="Arial" w:eastAsia="Calibri" w:hAnsi="Arial" w:cs="Arial"/>
          <w:bCs/>
          <w:sz w:val="22"/>
          <w:szCs w:val="22"/>
          <w:lang w:eastAsia="en-US"/>
        </w:rPr>
        <w:t>Es responsabilidad de l</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s Ejecutor</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s de</w:t>
      </w:r>
      <w:r w:rsidR="00735EB0">
        <w:rPr>
          <w:rFonts w:ascii="Arial" w:eastAsia="Calibri" w:hAnsi="Arial" w:cs="Arial"/>
          <w:bCs/>
          <w:sz w:val="22"/>
          <w:szCs w:val="22"/>
          <w:lang w:eastAsia="en-US"/>
        </w:rPr>
        <w:t>l</w:t>
      </w:r>
      <w:r w:rsidRPr="00E14CA6">
        <w:rPr>
          <w:rFonts w:ascii="Arial" w:eastAsia="Calibri" w:hAnsi="Arial" w:cs="Arial"/>
          <w:bCs/>
          <w:sz w:val="22"/>
          <w:szCs w:val="22"/>
          <w:lang w:eastAsia="en-US"/>
        </w:rPr>
        <w:t xml:space="preserve"> gasto mantener las factibilidades vigentes, para que el Proyecto de Inversión</w:t>
      </w:r>
      <w:r w:rsidR="00735EB0">
        <w:rPr>
          <w:rFonts w:ascii="Arial" w:eastAsia="Calibri" w:hAnsi="Arial" w:cs="Arial"/>
          <w:bCs/>
          <w:sz w:val="22"/>
          <w:szCs w:val="22"/>
          <w:lang w:eastAsia="en-US"/>
        </w:rPr>
        <w:t xml:space="preserve"> Pública</w:t>
      </w:r>
      <w:r w:rsidRPr="00E14CA6">
        <w:rPr>
          <w:rFonts w:ascii="Arial" w:eastAsia="Calibri" w:hAnsi="Arial" w:cs="Arial"/>
          <w:bCs/>
          <w:sz w:val="22"/>
          <w:szCs w:val="22"/>
          <w:lang w:eastAsia="en-US"/>
        </w:rPr>
        <w:t xml:space="preserve"> y sus componentes sean susceptibles de financiamiento.</w:t>
      </w:r>
    </w:p>
    <w:p w:rsidR="00E14CA6" w:rsidRPr="00E14CA6" w:rsidRDefault="00E14CA6" w:rsidP="00E14CA6">
      <w:pPr>
        <w:jc w:val="both"/>
        <w:rPr>
          <w:rFonts w:ascii="Arial" w:eastAsia="Calibri" w:hAnsi="Arial" w:cs="Arial"/>
          <w:bCs/>
        </w:rPr>
      </w:pPr>
    </w:p>
    <w:p w:rsidR="00E14CA6" w:rsidRPr="00E14CA6" w:rsidRDefault="00E14CA6" w:rsidP="00E14CA6">
      <w:pPr>
        <w:pStyle w:val="Prrafodelista"/>
        <w:ind w:left="426"/>
        <w:jc w:val="center"/>
        <w:rPr>
          <w:rFonts w:ascii="Arial" w:eastAsia="Calibri" w:hAnsi="Arial" w:cs="Arial"/>
          <w:bCs/>
          <w:sz w:val="22"/>
          <w:szCs w:val="22"/>
          <w:lang w:eastAsia="en-US"/>
        </w:rPr>
      </w:pPr>
    </w:p>
    <w:p w:rsidR="00E14CA6" w:rsidRPr="00DB5068" w:rsidRDefault="00E14CA6" w:rsidP="00E14CA6">
      <w:pPr>
        <w:pStyle w:val="Prrafodelista"/>
        <w:ind w:left="426"/>
        <w:jc w:val="center"/>
        <w:rPr>
          <w:rFonts w:ascii="Arial" w:eastAsia="Calibri" w:hAnsi="Arial" w:cs="Arial"/>
          <w:b/>
          <w:bCs/>
          <w:sz w:val="22"/>
          <w:szCs w:val="22"/>
          <w:lang w:eastAsia="en-US"/>
        </w:rPr>
      </w:pPr>
      <w:r w:rsidRPr="00DB5068">
        <w:rPr>
          <w:rFonts w:ascii="Arial" w:eastAsia="Calibri" w:hAnsi="Arial" w:cs="Arial"/>
          <w:b/>
          <w:bCs/>
          <w:sz w:val="22"/>
          <w:szCs w:val="22"/>
          <w:lang w:eastAsia="en-US"/>
        </w:rPr>
        <w:t>Capítulo VI</w:t>
      </w:r>
    </w:p>
    <w:p w:rsidR="00E14CA6" w:rsidRPr="00DB5068" w:rsidRDefault="00E14CA6" w:rsidP="00E14CA6">
      <w:pPr>
        <w:pStyle w:val="Prrafodelista"/>
        <w:ind w:left="426"/>
        <w:jc w:val="center"/>
        <w:rPr>
          <w:rFonts w:ascii="Arial" w:eastAsia="Calibri" w:hAnsi="Arial" w:cs="Arial"/>
          <w:b/>
          <w:bCs/>
          <w:sz w:val="22"/>
          <w:szCs w:val="22"/>
          <w:lang w:eastAsia="en-US"/>
        </w:rPr>
      </w:pPr>
      <w:r w:rsidRPr="00DB5068">
        <w:rPr>
          <w:rFonts w:ascii="Arial" w:eastAsia="Calibri" w:hAnsi="Arial" w:cs="Arial"/>
          <w:b/>
          <w:bCs/>
          <w:sz w:val="22"/>
          <w:szCs w:val="22"/>
          <w:lang w:eastAsia="en-US"/>
        </w:rPr>
        <w:t xml:space="preserve">De la </w:t>
      </w:r>
      <w:r w:rsidR="00797C70">
        <w:rPr>
          <w:rFonts w:ascii="Arial" w:eastAsia="Calibri" w:hAnsi="Arial" w:cs="Arial"/>
          <w:b/>
          <w:bCs/>
          <w:sz w:val="22"/>
          <w:szCs w:val="22"/>
          <w:lang w:eastAsia="en-US"/>
        </w:rPr>
        <w:t>A</w:t>
      </w:r>
      <w:r w:rsidRPr="00DB5068">
        <w:rPr>
          <w:rFonts w:ascii="Arial" w:eastAsia="Calibri" w:hAnsi="Arial" w:cs="Arial"/>
          <w:b/>
          <w:bCs/>
          <w:sz w:val="22"/>
          <w:szCs w:val="22"/>
          <w:lang w:eastAsia="en-US"/>
        </w:rPr>
        <w:t xml:space="preserve">utorización de </w:t>
      </w:r>
      <w:r w:rsidR="00797C70">
        <w:rPr>
          <w:rFonts w:ascii="Arial" w:eastAsia="Calibri" w:hAnsi="Arial" w:cs="Arial"/>
          <w:b/>
          <w:bCs/>
          <w:sz w:val="22"/>
          <w:szCs w:val="22"/>
          <w:lang w:eastAsia="en-US"/>
        </w:rPr>
        <w:t>A</w:t>
      </w:r>
      <w:r w:rsidRPr="00DB5068">
        <w:rPr>
          <w:rFonts w:ascii="Arial" w:eastAsia="Calibri" w:hAnsi="Arial" w:cs="Arial"/>
          <w:b/>
          <w:bCs/>
          <w:sz w:val="22"/>
          <w:szCs w:val="22"/>
          <w:lang w:eastAsia="en-US"/>
        </w:rPr>
        <w:t>poyos</w:t>
      </w:r>
    </w:p>
    <w:p w:rsidR="00E14CA6" w:rsidRPr="00E14CA6" w:rsidRDefault="00E14CA6" w:rsidP="00E14CA6">
      <w:pPr>
        <w:pStyle w:val="Prrafodelista"/>
        <w:rPr>
          <w:rFonts w:ascii="Arial" w:eastAsia="Calibri" w:hAnsi="Arial" w:cs="Arial"/>
          <w:bCs/>
          <w:sz w:val="22"/>
          <w:szCs w:val="22"/>
          <w:lang w:eastAsia="en-US"/>
        </w:rPr>
      </w:pPr>
    </w:p>
    <w:p w:rsidR="00E14CA6" w:rsidRPr="00E14CA6" w:rsidRDefault="00E14CA6" w:rsidP="00E14CA6">
      <w:pPr>
        <w:pStyle w:val="Prrafodelista"/>
        <w:numPr>
          <w:ilvl w:val="0"/>
          <w:numId w:val="1"/>
        </w:numPr>
        <w:ind w:left="426" w:hanging="426"/>
        <w:jc w:val="both"/>
        <w:rPr>
          <w:rFonts w:ascii="Arial" w:eastAsia="Calibri" w:hAnsi="Arial" w:cs="Arial"/>
          <w:bCs/>
          <w:sz w:val="22"/>
          <w:szCs w:val="22"/>
          <w:lang w:eastAsia="en-US"/>
        </w:rPr>
      </w:pPr>
      <w:r w:rsidRPr="00E14CA6">
        <w:rPr>
          <w:rFonts w:ascii="Arial" w:eastAsia="Calibri" w:hAnsi="Arial" w:cs="Arial"/>
          <w:bCs/>
          <w:sz w:val="22"/>
          <w:szCs w:val="22"/>
          <w:lang w:eastAsia="en-US"/>
        </w:rPr>
        <w:t>La Secretaría de Finanzas determinará el financiamiento de los Proyectos de Inversión Pública de acuerdo con las características de sus componentes y a la disponibilidad financiera.</w:t>
      </w:r>
    </w:p>
    <w:p w:rsidR="00E14CA6" w:rsidRPr="00E14CA6" w:rsidRDefault="00E14CA6" w:rsidP="00E14CA6">
      <w:pPr>
        <w:pStyle w:val="Prrafodelista"/>
        <w:ind w:left="426"/>
        <w:jc w:val="both"/>
        <w:rPr>
          <w:rFonts w:ascii="Arial" w:eastAsia="Calibri" w:hAnsi="Arial" w:cs="Arial"/>
          <w:bCs/>
          <w:sz w:val="22"/>
          <w:szCs w:val="22"/>
          <w:lang w:eastAsia="en-US"/>
        </w:rPr>
      </w:pPr>
    </w:p>
    <w:p w:rsidR="00E14CA6" w:rsidRPr="00E14CA6" w:rsidRDefault="00E14CA6" w:rsidP="00E14CA6">
      <w:pPr>
        <w:pStyle w:val="Prrafodelista"/>
        <w:numPr>
          <w:ilvl w:val="0"/>
          <w:numId w:val="1"/>
        </w:numPr>
        <w:ind w:left="426" w:hanging="426"/>
        <w:jc w:val="both"/>
        <w:rPr>
          <w:rFonts w:ascii="Arial" w:eastAsia="Calibri" w:hAnsi="Arial" w:cs="Arial"/>
          <w:bCs/>
          <w:sz w:val="22"/>
          <w:szCs w:val="22"/>
          <w:lang w:eastAsia="en-US"/>
        </w:rPr>
      </w:pPr>
      <w:r w:rsidRPr="00E14CA6">
        <w:rPr>
          <w:rFonts w:ascii="Arial" w:eastAsia="Calibri" w:hAnsi="Arial" w:cs="Arial"/>
          <w:bCs/>
          <w:sz w:val="22"/>
          <w:szCs w:val="22"/>
          <w:lang w:eastAsia="en-US"/>
        </w:rPr>
        <w:t xml:space="preserve">La Secretaría de Finanzas emitirá el </w:t>
      </w:r>
      <w:r w:rsidR="00803753">
        <w:rPr>
          <w:rFonts w:ascii="Arial" w:eastAsia="Calibri" w:hAnsi="Arial" w:cs="Arial"/>
          <w:bCs/>
          <w:sz w:val="22"/>
          <w:szCs w:val="22"/>
          <w:lang w:eastAsia="en-US"/>
        </w:rPr>
        <w:t>o</w:t>
      </w:r>
      <w:r w:rsidRPr="00E14CA6">
        <w:rPr>
          <w:rFonts w:ascii="Arial" w:eastAsia="Calibri" w:hAnsi="Arial" w:cs="Arial"/>
          <w:bCs/>
          <w:sz w:val="22"/>
          <w:szCs w:val="22"/>
          <w:lang w:eastAsia="en-US"/>
        </w:rPr>
        <w:t xml:space="preserve">ficio de </w:t>
      </w:r>
      <w:r w:rsidR="00803753">
        <w:rPr>
          <w:rFonts w:ascii="Arial" w:eastAsia="Calibri" w:hAnsi="Arial" w:cs="Arial"/>
          <w:bCs/>
          <w:sz w:val="22"/>
          <w:szCs w:val="22"/>
          <w:lang w:eastAsia="en-US"/>
        </w:rPr>
        <w:t>a</w:t>
      </w:r>
      <w:r w:rsidRPr="00E14CA6">
        <w:rPr>
          <w:rFonts w:ascii="Arial" w:eastAsia="Calibri" w:hAnsi="Arial" w:cs="Arial"/>
          <w:bCs/>
          <w:sz w:val="22"/>
          <w:szCs w:val="22"/>
          <w:lang w:eastAsia="en-US"/>
        </w:rPr>
        <w:t xml:space="preserve">utorización de </w:t>
      </w:r>
      <w:r w:rsidR="00803753">
        <w:rPr>
          <w:rFonts w:ascii="Arial" w:eastAsia="Calibri" w:hAnsi="Arial" w:cs="Arial"/>
          <w:bCs/>
          <w:sz w:val="22"/>
          <w:szCs w:val="22"/>
          <w:lang w:eastAsia="en-US"/>
        </w:rPr>
        <w:t>r</w:t>
      </w:r>
      <w:r w:rsidRPr="00E14CA6">
        <w:rPr>
          <w:rFonts w:ascii="Arial" w:eastAsia="Calibri" w:hAnsi="Arial" w:cs="Arial"/>
          <w:bCs/>
          <w:sz w:val="22"/>
          <w:szCs w:val="22"/>
          <w:lang w:eastAsia="en-US"/>
        </w:rPr>
        <w:t>ecursos a la instancia solicitante, lo anterior, se efectuará de conformidad con la normatividad aplicable y en todos los casos se sujetará a la suficiencia presupuestaria.</w:t>
      </w:r>
    </w:p>
    <w:p w:rsidR="00E14CA6" w:rsidRPr="00E14CA6" w:rsidRDefault="00E14CA6" w:rsidP="00E14CA6">
      <w:pPr>
        <w:pStyle w:val="Prrafodelista"/>
        <w:ind w:left="426"/>
        <w:jc w:val="both"/>
        <w:rPr>
          <w:rFonts w:ascii="Arial" w:eastAsia="Calibri" w:hAnsi="Arial" w:cs="Arial"/>
          <w:bCs/>
          <w:sz w:val="22"/>
          <w:szCs w:val="22"/>
          <w:lang w:eastAsia="en-US"/>
        </w:rPr>
      </w:pPr>
    </w:p>
    <w:p w:rsidR="00E14CA6" w:rsidRPr="00E14CA6" w:rsidRDefault="00E14CA6" w:rsidP="00E14CA6">
      <w:pPr>
        <w:pStyle w:val="Prrafodelista"/>
        <w:ind w:left="426"/>
        <w:jc w:val="both"/>
        <w:rPr>
          <w:rFonts w:ascii="Arial" w:eastAsia="Calibri" w:hAnsi="Arial" w:cs="Arial"/>
          <w:bCs/>
          <w:sz w:val="22"/>
          <w:szCs w:val="22"/>
          <w:lang w:eastAsia="en-US"/>
        </w:rPr>
      </w:pPr>
      <w:r w:rsidRPr="00E14CA6">
        <w:rPr>
          <w:rFonts w:ascii="Arial" w:eastAsia="Calibri" w:hAnsi="Arial" w:cs="Arial"/>
          <w:bCs/>
          <w:sz w:val="22"/>
          <w:szCs w:val="22"/>
          <w:lang w:eastAsia="en-US"/>
        </w:rPr>
        <w:t>A partir de la comunicación de la autorización respectiva la</w:t>
      </w:r>
      <w:r w:rsidR="00FF4932">
        <w:rPr>
          <w:rFonts w:ascii="Arial" w:eastAsia="Calibri" w:hAnsi="Arial" w:cs="Arial"/>
          <w:bCs/>
          <w:sz w:val="22"/>
          <w:szCs w:val="22"/>
          <w:lang w:eastAsia="en-US"/>
        </w:rPr>
        <w:t xml:space="preserve"> Ejecutora del gasto se </w:t>
      </w:r>
      <w:r w:rsidRPr="00E14CA6">
        <w:rPr>
          <w:rFonts w:ascii="Arial" w:eastAsia="Calibri" w:hAnsi="Arial" w:cs="Arial"/>
          <w:bCs/>
          <w:sz w:val="22"/>
          <w:szCs w:val="22"/>
          <w:lang w:eastAsia="en-US"/>
        </w:rPr>
        <w:t>obliga</w:t>
      </w:r>
      <w:r w:rsidR="00FF4932">
        <w:rPr>
          <w:rFonts w:ascii="Arial" w:eastAsia="Calibri" w:hAnsi="Arial" w:cs="Arial"/>
          <w:bCs/>
          <w:sz w:val="22"/>
          <w:szCs w:val="22"/>
          <w:lang w:eastAsia="en-US"/>
        </w:rPr>
        <w:t>rá</w:t>
      </w:r>
      <w:r w:rsidRPr="00E14CA6">
        <w:rPr>
          <w:rFonts w:ascii="Arial" w:eastAsia="Calibri" w:hAnsi="Arial" w:cs="Arial"/>
          <w:bCs/>
          <w:sz w:val="22"/>
          <w:szCs w:val="22"/>
          <w:lang w:eastAsia="en-US"/>
        </w:rPr>
        <w:t xml:space="preserve"> a aplicar los recursos autorizados bajo los principios de eficiencia, eficacia, economía, transparencia, honradez y rendición de cuentas.</w:t>
      </w:r>
    </w:p>
    <w:p w:rsidR="00E14CA6" w:rsidRPr="00E14CA6" w:rsidRDefault="00E14CA6" w:rsidP="00E14CA6">
      <w:pPr>
        <w:pStyle w:val="Prrafodelista"/>
        <w:rPr>
          <w:rFonts w:ascii="Arial" w:eastAsia="Calibri" w:hAnsi="Arial" w:cs="Arial"/>
          <w:bCs/>
          <w:sz w:val="22"/>
          <w:szCs w:val="22"/>
          <w:lang w:eastAsia="en-US"/>
        </w:rPr>
      </w:pPr>
    </w:p>
    <w:p w:rsidR="00E14CA6" w:rsidRPr="00803753" w:rsidRDefault="00E14CA6" w:rsidP="00E14CA6">
      <w:pPr>
        <w:pStyle w:val="Prrafodelista"/>
        <w:jc w:val="center"/>
        <w:rPr>
          <w:rFonts w:ascii="Arial" w:eastAsia="Calibri" w:hAnsi="Arial" w:cs="Arial"/>
          <w:b/>
          <w:bCs/>
          <w:sz w:val="22"/>
          <w:szCs w:val="22"/>
          <w:lang w:eastAsia="en-US"/>
        </w:rPr>
      </w:pPr>
      <w:r w:rsidRPr="00803753">
        <w:rPr>
          <w:rFonts w:ascii="Arial" w:eastAsia="Calibri" w:hAnsi="Arial" w:cs="Arial"/>
          <w:b/>
          <w:bCs/>
          <w:sz w:val="22"/>
          <w:szCs w:val="22"/>
          <w:lang w:eastAsia="en-US"/>
        </w:rPr>
        <w:t>Capítulo VII</w:t>
      </w:r>
    </w:p>
    <w:p w:rsidR="00E14CA6" w:rsidRPr="00803753" w:rsidRDefault="00E14CA6" w:rsidP="00E14CA6">
      <w:pPr>
        <w:pStyle w:val="Prrafodelista"/>
        <w:jc w:val="center"/>
        <w:rPr>
          <w:rFonts w:ascii="Arial" w:eastAsia="Calibri" w:hAnsi="Arial" w:cs="Arial"/>
          <w:b/>
          <w:bCs/>
          <w:sz w:val="22"/>
          <w:szCs w:val="22"/>
          <w:lang w:eastAsia="en-US"/>
        </w:rPr>
      </w:pPr>
      <w:r w:rsidRPr="00803753">
        <w:rPr>
          <w:rFonts w:ascii="Arial" w:eastAsia="Calibri" w:hAnsi="Arial" w:cs="Arial"/>
          <w:b/>
          <w:bCs/>
          <w:sz w:val="22"/>
          <w:szCs w:val="22"/>
          <w:lang w:eastAsia="en-US"/>
        </w:rPr>
        <w:t xml:space="preserve">De la </w:t>
      </w:r>
      <w:r w:rsidR="00803753">
        <w:rPr>
          <w:rFonts w:ascii="Arial" w:eastAsia="Calibri" w:hAnsi="Arial" w:cs="Arial"/>
          <w:b/>
          <w:bCs/>
          <w:sz w:val="22"/>
          <w:szCs w:val="22"/>
          <w:lang w:eastAsia="en-US"/>
        </w:rPr>
        <w:t>A</w:t>
      </w:r>
      <w:r w:rsidRPr="00803753">
        <w:rPr>
          <w:rFonts w:ascii="Arial" w:eastAsia="Calibri" w:hAnsi="Arial" w:cs="Arial"/>
          <w:b/>
          <w:bCs/>
          <w:sz w:val="22"/>
          <w:szCs w:val="22"/>
          <w:lang w:eastAsia="en-US"/>
        </w:rPr>
        <w:t xml:space="preserve">plicación de los </w:t>
      </w:r>
      <w:r w:rsidR="00803753">
        <w:rPr>
          <w:rFonts w:ascii="Arial" w:eastAsia="Calibri" w:hAnsi="Arial" w:cs="Arial"/>
          <w:b/>
          <w:bCs/>
          <w:sz w:val="22"/>
          <w:szCs w:val="22"/>
          <w:lang w:eastAsia="en-US"/>
        </w:rPr>
        <w:t>R</w:t>
      </w:r>
      <w:r w:rsidRPr="00803753">
        <w:rPr>
          <w:rFonts w:ascii="Arial" w:eastAsia="Calibri" w:hAnsi="Arial" w:cs="Arial"/>
          <w:b/>
          <w:bCs/>
          <w:sz w:val="22"/>
          <w:szCs w:val="22"/>
          <w:lang w:eastAsia="en-US"/>
        </w:rPr>
        <w:t>ecursos</w:t>
      </w:r>
    </w:p>
    <w:p w:rsidR="00E14CA6" w:rsidRPr="00E14CA6" w:rsidRDefault="00E14CA6" w:rsidP="00E14CA6">
      <w:pPr>
        <w:pStyle w:val="Prrafodelista"/>
        <w:rPr>
          <w:rFonts w:ascii="Arial" w:eastAsia="Calibri" w:hAnsi="Arial" w:cs="Arial"/>
          <w:bCs/>
          <w:sz w:val="22"/>
          <w:szCs w:val="22"/>
          <w:lang w:eastAsia="en-US"/>
        </w:rPr>
      </w:pPr>
    </w:p>
    <w:p w:rsidR="00E14CA6" w:rsidRPr="00E14CA6" w:rsidRDefault="00E14CA6" w:rsidP="00E14CA6">
      <w:pPr>
        <w:pStyle w:val="Prrafodelista"/>
        <w:numPr>
          <w:ilvl w:val="0"/>
          <w:numId w:val="1"/>
        </w:numPr>
        <w:ind w:left="426" w:hanging="426"/>
        <w:jc w:val="both"/>
        <w:rPr>
          <w:rFonts w:ascii="Arial" w:eastAsia="Calibri" w:hAnsi="Arial" w:cs="Arial"/>
          <w:bCs/>
          <w:sz w:val="22"/>
          <w:szCs w:val="22"/>
          <w:lang w:eastAsia="en-US"/>
        </w:rPr>
      </w:pPr>
      <w:r w:rsidRPr="00E14CA6">
        <w:rPr>
          <w:rFonts w:ascii="Arial" w:eastAsia="Calibri" w:hAnsi="Arial" w:cs="Arial"/>
          <w:bCs/>
          <w:sz w:val="22"/>
          <w:szCs w:val="22"/>
          <w:lang w:eastAsia="en-US"/>
        </w:rPr>
        <w:t>L</w:t>
      </w:r>
      <w:r w:rsidR="00F9665B">
        <w:rPr>
          <w:rFonts w:ascii="Arial" w:eastAsia="Calibri" w:hAnsi="Arial" w:cs="Arial"/>
          <w:bCs/>
          <w:sz w:val="22"/>
          <w:szCs w:val="22"/>
          <w:lang w:eastAsia="en-US"/>
        </w:rPr>
        <w:t>o</w:t>
      </w:r>
      <w:r w:rsidRPr="00E14CA6">
        <w:rPr>
          <w:rFonts w:ascii="Arial" w:eastAsia="Calibri" w:hAnsi="Arial" w:cs="Arial"/>
          <w:bCs/>
          <w:sz w:val="22"/>
          <w:szCs w:val="22"/>
          <w:lang w:eastAsia="en-US"/>
        </w:rPr>
        <w:t xml:space="preserve">s </w:t>
      </w:r>
      <w:r w:rsidR="00F9665B">
        <w:rPr>
          <w:rFonts w:ascii="Arial" w:eastAsia="Calibri" w:hAnsi="Arial" w:cs="Arial"/>
          <w:bCs/>
          <w:sz w:val="22"/>
          <w:szCs w:val="22"/>
          <w:lang w:eastAsia="en-US"/>
        </w:rPr>
        <w:t>E</w:t>
      </w:r>
      <w:r w:rsidRPr="00E14CA6">
        <w:rPr>
          <w:rFonts w:ascii="Arial" w:eastAsia="Calibri" w:hAnsi="Arial" w:cs="Arial"/>
          <w:bCs/>
          <w:sz w:val="22"/>
          <w:szCs w:val="22"/>
          <w:lang w:eastAsia="en-US"/>
        </w:rPr>
        <w:t>jecutoras</w:t>
      </w:r>
      <w:r w:rsidR="00F9665B">
        <w:rPr>
          <w:rFonts w:ascii="Arial" w:eastAsia="Calibri" w:hAnsi="Arial" w:cs="Arial"/>
          <w:bCs/>
          <w:sz w:val="22"/>
          <w:szCs w:val="22"/>
          <w:lang w:eastAsia="en-US"/>
        </w:rPr>
        <w:t xml:space="preserve"> del gasto</w:t>
      </w:r>
      <w:r w:rsidRPr="00E14CA6">
        <w:rPr>
          <w:rFonts w:ascii="Arial" w:eastAsia="Calibri" w:hAnsi="Arial" w:cs="Arial"/>
          <w:bCs/>
          <w:sz w:val="22"/>
          <w:szCs w:val="22"/>
          <w:lang w:eastAsia="en-US"/>
        </w:rPr>
        <w:t xml:space="preserve"> deberán aplicar estrictamente los recursos autorizados en la realización de los Proyectos de Inversión Pública autorizados, sin excepción alguna.</w:t>
      </w:r>
    </w:p>
    <w:p w:rsidR="00E14CA6" w:rsidRPr="00E14CA6" w:rsidRDefault="00E14CA6" w:rsidP="00E14CA6">
      <w:pPr>
        <w:pStyle w:val="Prrafodelista"/>
        <w:rPr>
          <w:rFonts w:ascii="Arial" w:eastAsia="Calibri" w:hAnsi="Arial" w:cs="Arial"/>
          <w:bCs/>
          <w:sz w:val="22"/>
          <w:szCs w:val="22"/>
          <w:lang w:eastAsia="en-US"/>
        </w:rPr>
      </w:pPr>
    </w:p>
    <w:p w:rsidR="00E14CA6" w:rsidRPr="00E14CA6" w:rsidRDefault="00E14CA6" w:rsidP="00E14CA6">
      <w:pPr>
        <w:pStyle w:val="Prrafodelista"/>
        <w:numPr>
          <w:ilvl w:val="0"/>
          <w:numId w:val="1"/>
        </w:numPr>
        <w:ind w:left="426" w:hanging="426"/>
        <w:jc w:val="both"/>
        <w:rPr>
          <w:rFonts w:ascii="Arial" w:eastAsia="Calibri" w:hAnsi="Arial" w:cs="Arial"/>
          <w:bCs/>
          <w:sz w:val="22"/>
          <w:szCs w:val="22"/>
          <w:lang w:eastAsia="en-US"/>
        </w:rPr>
      </w:pPr>
      <w:r w:rsidRPr="00E14CA6">
        <w:rPr>
          <w:rFonts w:ascii="Arial" w:eastAsia="Calibri" w:hAnsi="Arial" w:cs="Arial"/>
          <w:bCs/>
          <w:sz w:val="22"/>
          <w:szCs w:val="22"/>
          <w:lang w:eastAsia="en-US"/>
        </w:rPr>
        <w:t xml:space="preserve">Las </w:t>
      </w:r>
      <w:r w:rsidR="00427D59">
        <w:rPr>
          <w:rFonts w:ascii="Arial" w:eastAsia="Calibri" w:hAnsi="Arial" w:cs="Arial"/>
          <w:bCs/>
          <w:sz w:val="22"/>
          <w:szCs w:val="22"/>
          <w:lang w:eastAsia="en-US"/>
        </w:rPr>
        <w:t>E</w:t>
      </w:r>
      <w:r w:rsidRPr="00E14CA6">
        <w:rPr>
          <w:rFonts w:ascii="Arial" w:eastAsia="Calibri" w:hAnsi="Arial" w:cs="Arial"/>
          <w:bCs/>
          <w:sz w:val="22"/>
          <w:szCs w:val="22"/>
          <w:lang w:eastAsia="en-US"/>
        </w:rPr>
        <w:t>jecutoras</w:t>
      </w:r>
      <w:r w:rsidR="00427D59">
        <w:rPr>
          <w:rFonts w:ascii="Arial" w:eastAsia="Calibri" w:hAnsi="Arial" w:cs="Arial"/>
          <w:bCs/>
          <w:sz w:val="22"/>
          <w:szCs w:val="22"/>
          <w:lang w:eastAsia="en-US"/>
        </w:rPr>
        <w:t xml:space="preserve"> del gasto</w:t>
      </w:r>
      <w:r w:rsidRPr="00E14CA6">
        <w:rPr>
          <w:rFonts w:ascii="Arial" w:eastAsia="Calibri" w:hAnsi="Arial" w:cs="Arial"/>
          <w:bCs/>
          <w:sz w:val="22"/>
          <w:szCs w:val="22"/>
          <w:lang w:eastAsia="en-US"/>
        </w:rPr>
        <w:t xml:space="preserve"> serán responsables de planear, programar, presupuestar las actividades que conlleven a la ejecución oportuna de los Proyectos de Inversión Pública.</w:t>
      </w:r>
    </w:p>
    <w:p w:rsidR="00E14CA6" w:rsidRPr="00E14CA6" w:rsidRDefault="00E14CA6" w:rsidP="00E14CA6">
      <w:pPr>
        <w:pStyle w:val="Prrafodelista"/>
        <w:rPr>
          <w:rFonts w:ascii="Arial" w:eastAsia="Calibri" w:hAnsi="Arial" w:cs="Arial"/>
          <w:bCs/>
          <w:sz w:val="22"/>
          <w:szCs w:val="22"/>
          <w:lang w:eastAsia="en-US"/>
        </w:rPr>
      </w:pPr>
    </w:p>
    <w:p w:rsidR="00E14CA6" w:rsidRPr="00E14CA6" w:rsidRDefault="00E14CA6" w:rsidP="00E14CA6">
      <w:pPr>
        <w:pStyle w:val="Prrafodelista"/>
        <w:numPr>
          <w:ilvl w:val="0"/>
          <w:numId w:val="1"/>
        </w:numPr>
        <w:ind w:left="426" w:hanging="426"/>
        <w:jc w:val="both"/>
        <w:rPr>
          <w:rFonts w:ascii="Arial" w:eastAsia="Calibri" w:hAnsi="Arial" w:cs="Arial"/>
          <w:bCs/>
          <w:sz w:val="22"/>
          <w:szCs w:val="22"/>
          <w:lang w:eastAsia="en-US"/>
        </w:rPr>
      </w:pPr>
      <w:r w:rsidRPr="00E14CA6">
        <w:rPr>
          <w:rFonts w:ascii="Arial" w:eastAsia="Calibri" w:hAnsi="Arial" w:cs="Arial"/>
          <w:bCs/>
          <w:sz w:val="22"/>
          <w:szCs w:val="22"/>
          <w:lang w:eastAsia="en-US"/>
        </w:rPr>
        <w:t xml:space="preserve">Las </w:t>
      </w:r>
      <w:r w:rsidR="00427D59">
        <w:rPr>
          <w:rFonts w:ascii="Arial" w:eastAsia="Calibri" w:hAnsi="Arial" w:cs="Arial"/>
          <w:bCs/>
          <w:sz w:val="22"/>
          <w:szCs w:val="22"/>
          <w:lang w:eastAsia="en-US"/>
        </w:rPr>
        <w:t>E</w:t>
      </w:r>
      <w:r w:rsidRPr="00E14CA6">
        <w:rPr>
          <w:rFonts w:ascii="Arial" w:eastAsia="Calibri" w:hAnsi="Arial" w:cs="Arial"/>
          <w:bCs/>
          <w:sz w:val="22"/>
          <w:szCs w:val="22"/>
          <w:lang w:eastAsia="en-US"/>
        </w:rPr>
        <w:t>jecutoras</w:t>
      </w:r>
      <w:r w:rsidR="00427D59">
        <w:rPr>
          <w:rFonts w:ascii="Arial" w:eastAsia="Calibri" w:hAnsi="Arial" w:cs="Arial"/>
          <w:bCs/>
          <w:sz w:val="22"/>
          <w:szCs w:val="22"/>
          <w:lang w:eastAsia="en-US"/>
        </w:rPr>
        <w:t xml:space="preserve"> del gasto</w:t>
      </w:r>
      <w:r w:rsidRPr="00E14CA6">
        <w:rPr>
          <w:rFonts w:ascii="Arial" w:eastAsia="Calibri" w:hAnsi="Arial" w:cs="Arial"/>
          <w:bCs/>
          <w:sz w:val="22"/>
          <w:szCs w:val="22"/>
          <w:lang w:eastAsia="en-US"/>
        </w:rPr>
        <w:t xml:space="preserve"> deberán establecer medidas internas de control para controlar y evaluar el ejercicio del recurso.</w:t>
      </w:r>
    </w:p>
    <w:p w:rsidR="00E14CA6" w:rsidRPr="00E14CA6" w:rsidRDefault="00E14CA6" w:rsidP="00E14CA6">
      <w:pPr>
        <w:pStyle w:val="Prrafodelista"/>
        <w:rPr>
          <w:rFonts w:ascii="Arial" w:eastAsia="Calibri" w:hAnsi="Arial" w:cs="Arial"/>
          <w:bCs/>
          <w:sz w:val="22"/>
          <w:szCs w:val="22"/>
          <w:lang w:eastAsia="en-US"/>
        </w:rPr>
      </w:pPr>
    </w:p>
    <w:p w:rsidR="00E14CA6" w:rsidRPr="00E14CA6" w:rsidRDefault="00E14CA6" w:rsidP="00E14CA6">
      <w:pPr>
        <w:pStyle w:val="Prrafodelista"/>
        <w:numPr>
          <w:ilvl w:val="0"/>
          <w:numId w:val="1"/>
        </w:numPr>
        <w:ind w:left="426" w:hanging="426"/>
        <w:jc w:val="both"/>
        <w:rPr>
          <w:rFonts w:ascii="Arial" w:eastAsia="Calibri" w:hAnsi="Arial" w:cs="Arial"/>
          <w:bCs/>
          <w:sz w:val="22"/>
          <w:szCs w:val="22"/>
          <w:lang w:eastAsia="en-US"/>
        </w:rPr>
      </w:pPr>
      <w:r w:rsidRPr="00E14CA6">
        <w:rPr>
          <w:rFonts w:ascii="Arial" w:eastAsia="Calibri" w:hAnsi="Arial" w:cs="Arial"/>
          <w:bCs/>
          <w:sz w:val="22"/>
          <w:szCs w:val="22"/>
          <w:lang w:eastAsia="en-US"/>
        </w:rPr>
        <w:t>El resguardo y custodia de la documentación justificativa y comprobatoria es responsabilidad de l</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s Ejecutor</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s de</w:t>
      </w:r>
      <w:r w:rsidR="009A494A">
        <w:rPr>
          <w:rFonts w:ascii="Arial" w:eastAsia="Calibri" w:hAnsi="Arial" w:cs="Arial"/>
          <w:bCs/>
          <w:sz w:val="22"/>
          <w:szCs w:val="22"/>
          <w:lang w:eastAsia="en-US"/>
        </w:rPr>
        <w:t>l</w:t>
      </w:r>
      <w:r w:rsidRPr="00E14CA6">
        <w:rPr>
          <w:rFonts w:ascii="Arial" w:eastAsia="Calibri" w:hAnsi="Arial" w:cs="Arial"/>
          <w:bCs/>
          <w:sz w:val="22"/>
          <w:szCs w:val="22"/>
          <w:lang w:eastAsia="en-US"/>
        </w:rPr>
        <w:t xml:space="preserve"> gasto. </w:t>
      </w:r>
    </w:p>
    <w:p w:rsidR="00E14CA6" w:rsidRPr="00E14CA6" w:rsidRDefault="00E14CA6" w:rsidP="00E14CA6">
      <w:pPr>
        <w:pStyle w:val="Prrafodelista"/>
        <w:rPr>
          <w:rFonts w:ascii="Arial" w:eastAsia="Calibri" w:hAnsi="Arial" w:cs="Arial"/>
          <w:bCs/>
          <w:sz w:val="22"/>
          <w:szCs w:val="22"/>
          <w:lang w:eastAsia="en-US"/>
        </w:rPr>
      </w:pPr>
    </w:p>
    <w:p w:rsidR="00E14CA6" w:rsidRPr="00E14CA6" w:rsidRDefault="00E14CA6" w:rsidP="00E14CA6">
      <w:pPr>
        <w:pStyle w:val="Prrafodelista"/>
        <w:numPr>
          <w:ilvl w:val="0"/>
          <w:numId w:val="1"/>
        </w:numPr>
        <w:ind w:left="426" w:hanging="426"/>
        <w:jc w:val="both"/>
        <w:rPr>
          <w:rFonts w:ascii="Arial" w:eastAsia="Calibri" w:hAnsi="Arial" w:cs="Arial"/>
          <w:bCs/>
          <w:sz w:val="22"/>
          <w:szCs w:val="22"/>
          <w:lang w:eastAsia="en-US"/>
        </w:rPr>
      </w:pPr>
      <w:r w:rsidRPr="00E14CA6">
        <w:rPr>
          <w:rFonts w:ascii="Arial" w:eastAsia="Calibri" w:hAnsi="Arial" w:cs="Arial"/>
          <w:bCs/>
          <w:sz w:val="22"/>
          <w:szCs w:val="22"/>
          <w:lang w:eastAsia="en-US"/>
        </w:rPr>
        <w:t>L</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s Ejecutor</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s de</w:t>
      </w:r>
      <w:r w:rsidR="009A494A">
        <w:rPr>
          <w:rFonts w:ascii="Arial" w:eastAsia="Calibri" w:hAnsi="Arial" w:cs="Arial"/>
          <w:bCs/>
          <w:sz w:val="22"/>
          <w:szCs w:val="22"/>
          <w:lang w:eastAsia="en-US"/>
        </w:rPr>
        <w:t>l</w:t>
      </w:r>
      <w:r w:rsidRPr="00E14CA6">
        <w:rPr>
          <w:rFonts w:ascii="Arial" w:eastAsia="Calibri" w:hAnsi="Arial" w:cs="Arial"/>
          <w:bCs/>
          <w:sz w:val="22"/>
          <w:szCs w:val="22"/>
          <w:lang w:eastAsia="en-US"/>
        </w:rPr>
        <w:t xml:space="preserve"> gasto están obligados a rendir cuentas por la administración y ejercicio de los recursos públicos otorgados, lo anterior, en los términos de la Ley Estatal de Presupuesto y Responsabilidad Hacendaria y demás disposiciones aplicables. </w:t>
      </w:r>
    </w:p>
    <w:p w:rsidR="00E14CA6" w:rsidRPr="00E14CA6" w:rsidRDefault="00E14CA6" w:rsidP="00E14CA6">
      <w:pPr>
        <w:pStyle w:val="Prrafodelista"/>
        <w:rPr>
          <w:rFonts w:ascii="Arial" w:eastAsia="Calibri" w:hAnsi="Arial" w:cs="Arial"/>
          <w:bCs/>
          <w:sz w:val="22"/>
          <w:szCs w:val="22"/>
          <w:lang w:eastAsia="en-US"/>
        </w:rPr>
      </w:pPr>
    </w:p>
    <w:p w:rsidR="00E14CA6" w:rsidRPr="00E14CA6" w:rsidRDefault="00E14CA6" w:rsidP="00E14CA6">
      <w:pPr>
        <w:pStyle w:val="Prrafodelista"/>
        <w:numPr>
          <w:ilvl w:val="0"/>
          <w:numId w:val="1"/>
        </w:numPr>
        <w:ind w:left="426" w:hanging="426"/>
        <w:jc w:val="both"/>
        <w:rPr>
          <w:rFonts w:ascii="Arial" w:eastAsia="Calibri" w:hAnsi="Arial" w:cs="Arial"/>
          <w:bCs/>
          <w:sz w:val="22"/>
          <w:szCs w:val="22"/>
          <w:lang w:eastAsia="en-US"/>
        </w:rPr>
      </w:pPr>
      <w:r w:rsidRPr="00E14CA6">
        <w:rPr>
          <w:rFonts w:ascii="Arial" w:eastAsia="Calibri" w:hAnsi="Arial" w:cs="Arial"/>
          <w:bCs/>
          <w:sz w:val="22"/>
          <w:szCs w:val="22"/>
          <w:lang w:eastAsia="en-US"/>
        </w:rPr>
        <w:t>L</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 xml:space="preserve">s </w:t>
      </w:r>
      <w:r w:rsidR="00C83F00">
        <w:rPr>
          <w:rFonts w:ascii="Arial" w:eastAsia="Calibri" w:hAnsi="Arial" w:cs="Arial"/>
          <w:bCs/>
          <w:sz w:val="22"/>
          <w:szCs w:val="22"/>
          <w:lang w:eastAsia="en-US"/>
        </w:rPr>
        <w:t>E</w:t>
      </w:r>
      <w:r w:rsidRPr="00E14CA6">
        <w:rPr>
          <w:rFonts w:ascii="Arial" w:eastAsia="Calibri" w:hAnsi="Arial" w:cs="Arial"/>
          <w:bCs/>
          <w:sz w:val="22"/>
          <w:szCs w:val="22"/>
          <w:lang w:eastAsia="en-US"/>
        </w:rPr>
        <w:t>jecutor</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s</w:t>
      </w:r>
      <w:r w:rsidR="00C83F00">
        <w:rPr>
          <w:rFonts w:ascii="Arial" w:eastAsia="Calibri" w:hAnsi="Arial" w:cs="Arial"/>
          <w:bCs/>
          <w:sz w:val="22"/>
          <w:szCs w:val="22"/>
          <w:lang w:eastAsia="en-US"/>
        </w:rPr>
        <w:t xml:space="preserve"> del gasto</w:t>
      </w:r>
      <w:r w:rsidRPr="00E14CA6">
        <w:rPr>
          <w:rFonts w:ascii="Arial" w:eastAsia="Calibri" w:hAnsi="Arial" w:cs="Arial"/>
          <w:bCs/>
          <w:sz w:val="22"/>
          <w:szCs w:val="22"/>
          <w:lang w:eastAsia="en-US"/>
        </w:rPr>
        <w:t xml:space="preserve"> podrán destinar hasta un 2% del monto contratado para gastos indirectos. </w:t>
      </w:r>
    </w:p>
    <w:p w:rsidR="00E14CA6" w:rsidRPr="00E14CA6" w:rsidRDefault="00E14CA6" w:rsidP="00E14CA6">
      <w:pPr>
        <w:pStyle w:val="Prrafodelista"/>
        <w:rPr>
          <w:rFonts w:ascii="Arial" w:eastAsia="Calibri" w:hAnsi="Arial" w:cs="Arial"/>
          <w:bCs/>
          <w:sz w:val="22"/>
          <w:szCs w:val="22"/>
          <w:lang w:eastAsia="en-US"/>
        </w:rPr>
      </w:pPr>
    </w:p>
    <w:p w:rsidR="00E14CA6" w:rsidRPr="00E14CA6" w:rsidRDefault="00E14CA6" w:rsidP="00E14CA6">
      <w:pPr>
        <w:pStyle w:val="Prrafodelista"/>
        <w:numPr>
          <w:ilvl w:val="0"/>
          <w:numId w:val="1"/>
        </w:numPr>
        <w:ind w:left="426" w:hanging="426"/>
        <w:jc w:val="both"/>
        <w:rPr>
          <w:rFonts w:ascii="Arial" w:eastAsia="Calibri" w:hAnsi="Arial" w:cs="Arial"/>
          <w:bCs/>
          <w:sz w:val="22"/>
          <w:szCs w:val="22"/>
          <w:lang w:eastAsia="en-US"/>
        </w:rPr>
      </w:pPr>
      <w:r w:rsidRPr="00E14CA6">
        <w:rPr>
          <w:rFonts w:ascii="Arial" w:eastAsia="Calibri" w:hAnsi="Arial" w:cs="Arial"/>
          <w:bCs/>
          <w:sz w:val="22"/>
          <w:szCs w:val="22"/>
          <w:lang w:eastAsia="en-US"/>
        </w:rPr>
        <w:t>Para el caso que l</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 xml:space="preserve">s </w:t>
      </w:r>
      <w:r w:rsidR="00D26276">
        <w:rPr>
          <w:rFonts w:ascii="Arial" w:eastAsia="Calibri" w:hAnsi="Arial" w:cs="Arial"/>
          <w:bCs/>
          <w:sz w:val="22"/>
          <w:szCs w:val="22"/>
          <w:lang w:eastAsia="en-US"/>
        </w:rPr>
        <w:t>E</w:t>
      </w:r>
      <w:r w:rsidRPr="00E14CA6">
        <w:rPr>
          <w:rFonts w:ascii="Arial" w:eastAsia="Calibri" w:hAnsi="Arial" w:cs="Arial"/>
          <w:bCs/>
          <w:sz w:val="22"/>
          <w:szCs w:val="22"/>
          <w:lang w:eastAsia="en-US"/>
        </w:rPr>
        <w:t>jecutor</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s</w:t>
      </w:r>
      <w:r w:rsidR="00D26276">
        <w:rPr>
          <w:rFonts w:ascii="Arial" w:eastAsia="Calibri" w:hAnsi="Arial" w:cs="Arial"/>
          <w:bCs/>
          <w:sz w:val="22"/>
          <w:szCs w:val="22"/>
          <w:lang w:eastAsia="en-US"/>
        </w:rPr>
        <w:t xml:space="preserve"> del gasto</w:t>
      </w:r>
      <w:r w:rsidRPr="00E14CA6">
        <w:rPr>
          <w:rFonts w:ascii="Arial" w:eastAsia="Calibri" w:hAnsi="Arial" w:cs="Arial"/>
          <w:bCs/>
          <w:sz w:val="22"/>
          <w:szCs w:val="22"/>
          <w:lang w:eastAsia="en-US"/>
        </w:rPr>
        <w:t xml:space="preserve"> sean Municipios, adicionalmente a lo dispuesto en el presente apartado se deberá cumplir con lo siguiente:</w:t>
      </w:r>
    </w:p>
    <w:p w:rsidR="00E14CA6" w:rsidRPr="00E14CA6" w:rsidRDefault="00E14CA6" w:rsidP="00E14CA6">
      <w:pPr>
        <w:pStyle w:val="Prrafodelista"/>
        <w:ind w:hanging="282"/>
        <w:rPr>
          <w:rFonts w:ascii="Arial" w:eastAsia="Calibri" w:hAnsi="Arial" w:cs="Arial"/>
          <w:bCs/>
          <w:sz w:val="22"/>
          <w:szCs w:val="22"/>
          <w:lang w:eastAsia="en-US"/>
        </w:rPr>
      </w:pPr>
    </w:p>
    <w:p w:rsidR="00E14CA6" w:rsidRPr="00E14CA6" w:rsidRDefault="00BB513F" w:rsidP="00E14CA6">
      <w:pPr>
        <w:pStyle w:val="Prrafodelista"/>
        <w:numPr>
          <w:ilvl w:val="0"/>
          <w:numId w:val="3"/>
        </w:numPr>
        <w:ind w:left="851" w:hanging="425"/>
        <w:jc w:val="both"/>
        <w:rPr>
          <w:rFonts w:ascii="Arial" w:eastAsia="Calibri" w:hAnsi="Arial" w:cs="Arial"/>
          <w:bCs/>
          <w:sz w:val="22"/>
          <w:szCs w:val="22"/>
          <w:lang w:eastAsia="en-US"/>
        </w:rPr>
      </w:pPr>
      <w:r>
        <w:rPr>
          <w:rFonts w:ascii="Arial" w:eastAsia="Calibri" w:hAnsi="Arial" w:cs="Arial"/>
          <w:bCs/>
          <w:sz w:val="22"/>
          <w:szCs w:val="22"/>
          <w:lang w:eastAsia="en-US"/>
        </w:rPr>
        <w:t>F</w:t>
      </w:r>
      <w:r w:rsidR="00E14CA6" w:rsidRPr="00E14CA6">
        <w:rPr>
          <w:rFonts w:ascii="Arial" w:eastAsia="Calibri" w:hAnsi="Arial" w:cs="Arial"/>
          <w:bCs/>
          <w:sz w:val="22"/>
          <w:szCs w:val="22"/>
          <w:lang w:eastAsia="en-US"/>
        </w:rPr>
        <w:t>ormalizar el Convenio de Colaboración respectivo con la Subsecretaría de Planeación e Inversión Pública.</w:t>
      </w:r>
    </w:p>
    <w:p w:rsidR="00E14CA6" w:rsidRPr="00E14CA6" w:rsidRDefault="00E14CA6" w:rsidP="00E14CA6">
      <w:pPr>
        <w:pStyle w:val="Prrafodelista"/>
        <w:ind w:left="851"/>
        <w:jc w:val="both"/>
        <w:rPr>
          <w:rFonts w:ascii="Arial" w:eastAsia="Calibri" w:hAnsi="Arial" w:cs="Arial"/>
          <w:bCs/>
          <w:sz w:val="22"/>
          <w:szCs w:val="22"/>
          <w:lang w:eastAsia="en-US"/>
        </w:rPr>
      </w:pPr>
    </w:p>
    <w:p w:rsidR="00E14CA6" w:rsidRPr="00E14CA6" w:rsidRDefault="00BB513F" w:rsidP="00E14CA6">
      <w:pPr>
        <w:pStyle w:val="Prrafodelista"/>
        <w:numPr>
          <w:ilvl w:val="0"/>
          <w:numId w:val="3"/>
        </w:numPr>
        <w:ind w:left="851" w:hanging="425"/>
        <w:jc w:val="both"/>
        <w:rPr>
          <w:rFonts w:ascii="Arial" w:eastAsia="Calibri" w:hAnsi="Arial" w:cs="Arial"/>
          <w:bCs/>
          <w:sz w:val="22"/>
          <w:szCs w:val="22"/>
          <w:lang w:eastAsia="en-US"/>
        </w:rPr>
      </w:pPr>
      <w:r>
        <w:rPr>
          <w:rFonts w:ascii="Arial" w:eastAsia="Calibri" w:hAnsi="Arial" w:cs="Arial"/>
          <w:bCs/>
          <w:sz w:val="22"/>
          <w:szCs w:val="22"/>
          <w:lang w:eastAsia="en-US"/>
        </w:rPr>
        <w:t xml:space="preserve">Notificar a la </w:t>
      </w:r>
      <w:r w:rsidR="00E14CA6" w:rsidRPr="00E14CA6">
        <w:rPr>
          <w:rFonts w:ascii="Arial" w:eastAsia="Calibri" w:hAnsi="Arial" w:cs="Arial"/>
          <w:bCs/>
          <w:sz w:val="22"/>
          <w:szCs w:val="22"/>
          <w:lang w:eastAsia="en-US"/>
        </w:rPr>
        <w:t xml:space="preserve">Secretaría de Finanzas </w:t>
      </w:r>
      <w:r>
        <w:rPr>
          <w:rFonts w:ascii="Arial" w:eastAsia="Calibri" w:hAnsi="Arial" w:cs="Arial"/>
          <w:bCs/>
          <w:sz w:val="22"/>
          <w:szCs w:val="22"/>
          <w:lang w:eastAsia="en-US"/>
        </w:rPr>
        <w:t xml:space="preserve">la cuenta bancaria del Ejecutor del gasto en los términos dispuestos por la </w:t>
      </w:r>
      <w:r w:rsidR="00E14CA6" w:rsidRPr="00E14CA6">
        <w:rPr>
          <w:rFonts w:ascii="Arial" w:eastAsia="Calibri" w:hAnsi="Arial" w:cs="Arial"/>
          <w:bCs/>
          <w:sz w:val="22"/>
          <w:szCs w:val="22"/>
          <w:lang w:eastAsia="en-US"/>
        </w:rPr>
        <w:t xml:space="preserve">Ley Estatal de Presupuesto y Responsabilidad Hacendaria. </w:t>
      </w:r>
    </w:p>
    <w:p w:rsidR="00E14CA6" w:rsidRPr="00E14CA6" w:rsidRDefault="00E14CA6" w:rsidP="00E14CA6">
      <w:pPr>
        <w:pStyle w:val="Prrafodelista"/>
        <w:rPr>
          <w:rFonts w:ascii="Arial" w:eastAsia="Calibri" w:hAnsi="Arial" w:cs="Arial"/>
          <w:bCs/>
          <w:sz w:val="22"/>
          <w:szCs w:val="22"/>
          <w:lang w:eastAsia="en-US"/>
        </w:rPr>
      </w:pPr>
    </w:p>
    <w:p w:rsidR="00E14CA6" w:rsidRPr="00E14CA6" w:rsidRDefault="00E14CA6" w:rsidP="00E14CA6">
      <w:pPr>
        <w:pStyle w:val="Prrafodelista"/>
        <w:numPr>
          <w:ilvl w:val="0"/>
          <w:numId w:val="1"/>
        </w:numPr>
        <w:ind w:left="426" w:hanging="426"/>
        <w:jc w:val="both"/>
        <w:rPr>
          <w:rFonts w:ascii="Arial" w:eastAsia="Calibri" w:hAnsi="Arial" w:cs="Arial"/>
          <w:bCs/>
          <w:sz w:val="22"/>
          <w:szCs w:val="22"/>
          <w:lang w:eastAsia="en-US"/>
        </w:rPr>
      </w:pPr>
      <w:r w:rsidRPr="00E14CA6">
        <w:rPr>
          <w:rFonts w:ascii="Arial" w:eastAsia="Calibri" w:hAnsi="Arial" w:cs="Arial"/>
          <w:bCs/>
          <w:sz w:val="22"/>
          <w:szCs w:val="22"/>
          <w:lang w:eastAsia="en-US"/>
        </w:rPr>
        <w:t>L</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 xml:space="preserve">s </w:t>
      </w:r>
      <w:r w:rsidR="00A55518">
        <w:rPr>
          <w:rFonts w:ascii="Arial" w:eastAsia="Calibri" w:hAnsi="Arial" w:cs="Arial"/>
          <w:bCs/>
          <w:sz w:val="22"/>
          <w:szCs w:val="22"/>
          <w:lang w:eastAsia="en-US"/>
        </w:rPr>
        <w:t>E</w:t>
      </w:r>
      <w:r w:rsidRPr="00E14CA6">
        <w:rPr>
          <w:rFonts w:ascii="Arial" w:eastAsia="Calibri" w:hAnsi="Arial" w:cs="Arial"/>
          <w:bCs/>
          <w:sz w:val="22"/>
          <w:szCs w:val="22"/>
          <w:lang w:eastAsia="en-US"/>
        </w:rPr>
        <w:t>jecutor</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s</w:t>
      </w:r>
      <w:r w:rsidR="00A55518">
        <w:rPr>
          <w:rFonts w:ascii="Arial" w:eastAsia="Calibri" w:hAnsi="Arial" w:cs="Arial"/>
          <w:bCs/>
          <w:sz w:val="22"/>
          <w:szCs w:val="22"/>
          <w:lang w:eastAsia="en-US"/>
        </w:rPr>
        <w:t xml:space="preserve"> del gasto</w:t>
      </w:r>
      <w:r w:rsidRPr="00E14CA6">
        <w:rPr>
          <w:rFonts w:ascii="Arial" w:eastAsia="Calibri" w:hAnsi="Arial" w:cs="Arial"/>
          <w:bCs/>
          <w:sz w:val="22"/>
          <w:szCs w:val="22"/>
          <w:lang w:eastAsia="en-US"/>
        </w:rPr>
        <w:t xml:space="preserve"> asum</w:t>
      </w:r>
      <w:r w:rsidR="00A55518">
        <w:rPr>
          <w:rFonts w:ascii="Arial" w:eastAsia="Calibri" w:hAnsi="Arial" w:cs="Arial"/>
          <w:bCs/>
          <w:sz w:val="22"/>
          <w:szCs w:val="22"/>
          <w:lang w:eastAsia="en-US"/>
        </w:rPr>
        <w:t>irán</w:t>
      </w:r>
      <w:r w:rsidRPr="00E14CA6">
        <w:rPr>
          <w:rFonts w:ascii="Arial" w:eastAsia="Calibri" w:hAnsi="Arial" w:cs="Arial"/>
          <w:bCs/>
          <w:sz w:val="22"/>
          <w:szCs w:val="22"/>
          <w:lang w:eastAsia="en-US"/>
        </w:rPr>
        <w:t xml:space="preserve"> plenamente y por sí mismas, los compromisos y responsabilidades vinculadas con las obligaciones jurídicas, financieras y de cualquier índole relacionadas con la realización de los Proyectos de Inversión Pública autorizados.</w:t>
      </w:r>
    </w:p>
    <w:p w:rsidR="00E14CA6" w:rsidRPr="00E14CA6" w:rsidRDefault="00E14CA6" w:rsidP="00E14CA6">
      <w:pPr>
        <w:pStyle w:val="Prrafodelista"/>
        <w:rPr>
          <w:rFonts w:ascii="Arial" w:eastAsia="Calibri" w:hAnsi="Arial" w:cs="Arial"/>
          <w:bCs/>
          <w:sz w:val="22"/>
          <w:szCs w:val="22"/>
          <w:lang w:eastAsia="en-US"/>
        </w:rPr>
      </w:pPr>
    </w:p>
    <w:p w:rsidR="00E14CA6" w:rsidRPr="00E14CA6" w:rsidRDefault="00E14CA6" w:rsidP="00E14CA6">
      <w:pPr>
        <w:pStyle w:val="Prrafodelista"/>
        <w:numPr>
          <w:ilvl w:val="0"/>
          <w:numId w:val="1"/>
        </w:numPr>
        <w:ind w:left="426" w:hanging="426"/>
        <w:jc w:val="both"/>
        <w:rPr>
          <w:rFonts w:ascii="Arial" w:eastAsia="Calibri" w:hAnsi="Arial" w:cs="Arial"/>
          <w:bCs/>
          <w:sz w:val="22"/>
          <w:szCs w:val="22"/>
          <w:lang w:eastAsia="en-US"/>
        </w:rPr>
      </w:pPr>
      <w:r w:rsidRPr="00E14CA6">
        <w:rPr>
          <w:rFonts w:ascii="Arial" w:eastAsia="Calibri" w:hAnsi="Arial" w:cs="Arial"/>
          <w:bCs/>
          <w:sz w:val="22"/>
          <w:szCs w:val="22"/>
          <w:lang w:eastAsia="en-US"/>
        </w:rPr>
        <w:t>L</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 xml:space="preserve">s </w:t>
      </w:r>
      <w:r w:rsidR="00A55518">
        <w:rPr>
          <w:rFonts w:ascii="Arial" w:eastAsia="Calibri" w:hAnsi="Arial" w:cs="Arial"/>
          <w:bCs/>
          <w:sz w:val="22"/>
          <w:szCs w:val="22"/>
          <w:lang w:eastAsia="en-US"/>
        </w:rPr>
        <w:t>E</w:t>
      </w:r>
      <w:r w:rsidRPr="00E14CA6">
        <w:rPr>
          <w:rFonts w:ascii="Arial" w:eastAsia="Calibri" w:hAnsi="Arial" w:cs="Arial"/>
          <w:bCs/>
          <w:sz w:val="22"/>
          <w:szCs w:val="22"/>
          <w:lang w:eastAsia="en-US"/>
        </w:rPr>
        <w:t>jecutor</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s</w:t>
      </w:r>
      <w:r w:rsidR="00A55518">
        <w:rPr>
          <w:rFonts w:ascii="Arial" w:eastAsia="Calibri" w:hAnsi="Arial" w:cs="Arial"/>
          <w:bCs/>
          <w:sz w:val="22"/>
          <w:szCs w:val="22"/>
          <w:lang w:eastAsia="en-US"/>
        </w:rPr>
        <w:t xml:space="preserve"> del gasto</w:t>
      </w:r>
      <w:r w:rsidRPr="00E14CA6">
        <w:rPr>
          <w:rFonts w:ascii="Arial" w:eastAsia="Calibri" w:hAnsi="Arial" w:cs="Arial"/>
          <w:bCs/>
          <w:sz w:val="22"/>
          <w:szCs w:val="22"/>
          <w:lang w:eastAsia="en-US"/>
        </w:rPr>
        <w:t xml:space="preserve"> no podrán exceder el calendario de ejecución previsto y autorizado, no se omite mencionar que el citado calendario comprende los procesos de contratación, realización de los trabajos y finiquito. Excepcionalmente, l</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 xml:space="preserve">s </w:t>
      </w:r>
      <w:r w:rsidR="00A55518">
        <w:rPr>
          <w:rFonts w:ascii="Arial" w:eastAsia="Calibri" w:hAnsi="Arial" w:cs="Arial"/>
          <w:bCs/>
          <w:sz w:val="22"/>
          <w:szCs w:val="22"/>
          <w:lang w:eastAsia="en-US"/>
        </w:rPr>
        <w:t>E</w:t>
      </w:r>
      <w:r w:rsidRPr="00E14CA6">
        <w:rPr>
          <w:rFonts w:ascii="Arial" w:eastAsia="Calibri" w:hAnsi="Arial" w:cs="Arial"/>
          <w:bCs/>
          <w:sz w:val="22"/>
          <w:szCs w:val="22"/>
          <w:lang w:eastAsia="en-US"/>
        </w:rPr>
        <w:t>jecutor</w:t>
      </w:r>
      <w:r w:rsidR="003A6A62">
        <w:rPr>
          <w:rFonts w:ascii="Arial" w:eastAsia="Calibri" w:hAnsi="Arial" w:cs="Arial"/>
          <w:bCs/>
          <w:sz w:val="22"/>
          <w:szCs w:val="22"/>
          <w:lang w:eastAsia="en-US"/>
        </w:rPr>
        <w:t>a</w:t>
      </w:r>
      <w:r w:rsidRPr="00E14CA6">
        <w:rPr>
          <w:rFonts w:ascii="Arial" w:eastAsia="Calibri" w:hAnsi="Arial" w:cs="Arial"/>
          <w:bCs/>
          <w:sz w:val="22"/>
          <w:szCs w:val="22"/>
          <w:lang w:eastAsia="en-US"/>
        </w:rPr>
        <w:t>s</w:t>
      </w:r>
      <w:r w:rsidR="00A55518">
        <w:rPr>
          <w:rFonts w:ascii="Arial" w:eastAsia="Calibri" w:hAnsi="Arial" w:cs="Arial"/>
          <w:bCs/>
          <w:sz w:val="22"/>
          <w:szCs w:val="22"/>
          <w:lang w:eastAsia="en-US"/>
        </w:rPr>
        <w:t xml:space="preserve"> del gasto</w:t>
      </w:r>
      <w:r w:rsidRPr="00E14CA6">
        <w:rPr>
          <w:rFonts w:ascii="Arial" w:eastAsia="Calibri" w:hAnsi="Arial" w:cs="Arial"/>
          <w:bCs/>
          <w:sz w:val="22"/>
          <w:szCs w:val="22"/>
          <w:lang w:eastAsia="en-US"/>
        </w:rPr>
        <w:t xml:space="preserve"> podrán solicitar a la Subsecretaría de Planeación e Inversión Pública la adecuación presupuestaria pertinente, siempre y cuando el recurso se encuentre dentro del periodo de vigencia de</w:t>
      </w:r>
      <w:r w:rsidR="00150D9A">
        <w:rPr>
          <w:rFonts w:ascii="Arial" w:eastAsia="Calibri" w:hAnsi="Arial" w:cs="Arial"/>
          <w:bCs/>
          <w:sz w:val="22"/>
          <w:szCs w:val="22"/>
          <w:lang w:eastAsia="en-US"/>
        </w:rPr>
        <w:t xml:space="preserve"> </w:t>
      </w:r>
      <w:r w:rsidRPr="00E14CA6">
        <w:rPr>
          <w:rFonts w:ascii="Arial" w:eastAsia="Calibri" w:hAnsi="Arial" w:cs="Arial"/>
          <w:bCs/>
          <w:sz w:val="22"/>
          <w:szCs w:val="22"/>
          <w:lang w:eastAsia="en-US"/>
        </w:rPr>
        <w:t>l</w:t>
      </w:r>
      <w:r w:rsidR="00150D9A">
        <w:rPr>
          <w:rFonts w:ascii="Arial" w:eastAsia="Calibri" w:hAnsi="Arial" w:cs="Arial"/>
          <w:bCs/>
          <w:sz w:val="22"/>
          <w:szCs w:val="22"/>
          <w:lang w:eastAsia="en-US"/>
        </w:rPr>
        <w:t>a</w:t>
      </w:r>
      <w:r w:rsidRPr="00E14CA6">
        <w:rPr>
          <w:rFonts w:ascii="Arial" w:eastAsia="Calibri" w:hAnsi="Arial" w:cs="Arial"/>
          <w:bCs/>
          <w:sz w:val="22"/>
          <w:szCs w:val="22"/>
          <w:lang w:eastAsia="en-US"/>
        </w:rPr>
        <w:t xml:space="preserve"> </w:t>
      </w:r>
      <w:r w:rsidR="00150D9A">
        <w:rPr>
          <w:rFonts w:ascii="Arial" w:eastAsia="Calibri" w:hAnsi="Arial" w:cs="Arial"/>
          <w:bCs/>
          <w:sz w:val="22"/>
          <w:szCs w:val="22"/>
          <w:lang w:eastAsia="en-US"/>
        </w:rPr>
        <w:t>Bolsa</w:t>
      </w:r>
      <w:r w:rsidRPr="00E14CA6">
        <w:rPr>
          <w:rFonts w:ascii="Arial" w:eastAsia="Calibri" w:hAnsi="Arial" w:cs="Arial"/>
          <w:bCs/>
          <w:sz w:val="22"/>
          <w:szCs w:val="22"/>
          <w:lang w:eastAsia="en-US"/>
        </w:rPr>
        <w:t xml:space="preserve">. </w:t>
      </w:r>
    </w:p>
    <w:p w:rsidR="00E14CA6" w:rsidRDefault="00E14CA6" w:rsidP="00E14CA6">
      <w:pPr>
        <w:rPr>
          <w:rFonts w:ascii="Arial" w:eastAsia="Calibri" w:hAnsi="Arial" w:cs="Arial"/>
          <w:bCs/>
        </w:rPr>
      </w:pPr>
    </w:p>
    <w:p w:rsidR="000F4B4C" w:rsidRDefault="000F4B4C" w:rsidP="00E14CA6">
      <w:pPr>
        <w:rPr>
          <w:rFonts w:ascii="Arial" w:eastAsia="Calibri" w:hAnsi="Arial" w:cs="Arial"/>
          <w:bCs/>
        </w:rPr>
      </w:pPr>
    </w:p>
    <w:p w:rsidR="003F42A3" w:rsidRPr="00E14CA6" w:rsidRDefault="003F42A3" w:rsidP="00E14CA6">
      <w:pPr>
        <w:rPr>
          <w:rFonts w:ascii="Arial" w:eastAsia="Calibri" w:hAnsi="Arial" w:cs="Arial"/>
          <w:bCs/>
        </w:rPr>
      </w:pPr>
    </w:p>
    <w:p w:rsidR="00E14CA6" w:rsidRPr="0037492D" w:rsidRDefault="00E14CA6" w:rsidP="00E14CA6">
      <w:pPr>
        <w:pStyle w:val="Prrafodelista"/>
        <w:ind w:left="720"/>
        <w:jc w:val="center"/>
        <w:rPr>
          <w:rFonts w:ascii="Arial" w:eastAsia="Calibri" w:hAnsi="Arial" w:cs="Arial"/>
          <w:b/>
          <w:bCs/>
          <w:sz w:val="22"/>
          <w:szCs w:val="22"/>
          <w:lang w:eastAsia="en-US"/>
        </w:rPr>
      </w:pPr>
      <w:r w:rsidRPr="0037492D">
        <w:rPr>
          <w:rFonts w:ascii="Arial" w:eastAsia="Calibri" w:hAnsi="Arial" w:cs="Arial"/>
          <w:b/>
          <w:bCs/>
          <w:sz w:val="22"/>
          <w:szCs w:val="22"/>
          <w:lang w:eastAsia="en-US"/>
        </w:rPr>
        <w:lastRenderedPageBreak/>
        <w:t>Capítulo VIII</w:t>
      </w:r>
    </w:p>
    <w:p w:rsidR="00E14CA6" w:rsidRPr="0037492D" w:rsidRDefault="00E14CA6" w:rsidP="00E14CA6">
      <w:pPr>
        <w:pStyle w:val="Prrafodelista"/>
        <w:ind w:left="720"/>
        <w:jc w:val="center"/>
        <w:rPr>
          <w:rFonts w:ascii="Arial" w:eastAsia="Calibri" w:hAnsi="Arial" w:cs="Arial"/>
          <w:b/>
          <w:bCs/>
          <w:sz w:val="22"/>
          <w:szCs w:val="22"/>
          <w:lang w:eastAsia="en-US"/>
        </w:rPr>
      </w:pPr>
      <w:r w:rsidRPr="0037492D">
        <w:rPr>
          <w:rFonts w:ascii="Arial" w:eastAsia="Calibri" w:hAnsi="Arial" w:cs="Arial"/>
          <w:b/>
          <w:bCs/>
          <w:sz w:val="22"/>
          <w:szCs w:val="22"/>
          <w:lang w:eastAsia="en-US"/>
        </w:rPr>
        <w:t xml:space="preserve">Del </w:t>
      </w:r>
      <w:r w:rsidR="00663ADA">
        <w:rPr>
          <w:rFonts w:ascii="Arial" w:eastAsia="Calibri" w:hAnsi="Arial" w:cs="Arial"/>
          <w:b/>
          <w:bCs/>
          <w:sz w:val="22"/>
          <w:szCs w:val="22"/>
          <w:lang w:eastAsia="en-US"/>
        </w:rPr>
        <w:t>S</w:t>
      </w:r>
      <w:r w:rsidRPr="0037492D">
        <w:rPr>
          <w:rFonts w:ascii="Arial" w:eastAsia="Calibri" w:hAnsi="Arial" w:cs="Arial"/>
          <w:b/>
          <w:bCs/>
          <w:sz w:val="22"/>
          <w:szCs w:val="22"/>
          <w:lang w:eastAsia="en-US"/>
        </w:rPr>
        <w:t xml:space="preserve">eguimiento a los </w:t>
      </w:r>
      <w:r w:rsidR="00663ADA">
        <w:rPr>
          <w:rFonts w:ascii="Arial" w:eastAsia="Calibri" w:hAnsi="Arial" w:cs="Arial"/>
          <w:b/>
          <w:bCs/>
          <w:sz w:val="22"/>
          <w:szCs w:val="22"/>
          <w:lang w:eastAsia="en-US"/>
        </w:rPr>
        <w:t>P</w:t>
      </w:r>
      <w:r w:rsidRPr="0037492D">
        <w:rPr>
          <w:rFonts w:ascii="Arial" w:eastAsia="Calibri" w:hAnsi="Arial" w:cs="Arial"/>
          <w:b/>
          <w:bCs/>
          <w:sz w:val="22"/>
          <w:szCs w:val="22"/>
          <w:lang w:eastAsia="en-US"/>
        </w:rPr>
        <w:t xml:space="preserve">royectos de </w:t>
      </w:r>
      <w:r w:rsidR="00663ADA">
        <w:rPr>
          <w:rFonts w:ascii="Arial" w:eastAsia="Calibri" w:hAnsi="Arial" w:cs="Arial"/>
          <w:b/>
          <w:bCs/>
          <w:sz w:val="22"/>
          <w:szCs w:val="22"/>
          <w:lang w:eastAsia="en-US"/>
        </w:rPr>
        <w:t>I</w:t>
      </w:r>
      <w:r w:rsidRPr="0037492D">
        <w:rPr>
          <w:rFonts w:ascii="Arial" w:eastAsia="Calibri" w:hAnsi="Arial" w:cs="Arial"/>
          <w:b/>
          <w:bCs/>
          <w:sz w:val="22"/>
          <w:szCs w:val="22"/>
          <w:lang w:eastAsia="en-US"/>
        </w:rPr>
        <w:t xml:space="preserve">nversión </w:t>
      </w:r>
      <w:r w:rsidR="00663ADA">
        <w:rPr>
          <w:rFonts w:ascii="Arial" w:eastAsia="Calibri" w:hAnsi="Arial" w:cs="Arial"/>
          <w:b/>
          <w:bCs/>
          <w:sz w:val="22"/>
          <w:szCs w:val="22"/>
          <w:lang w:eastAsia="en-US"/>
        </w:rPr>
        <w:t>P</w:t>
      </w:r>
      <w:r w:rsidRPr="0037492D">
        <w:rPr>
          <w:rFonts w:ascii="Arial" w:eastAsia="Calibri" w:hAnsi="Arial" w:cs="Arial"/>
          <w:b/>
          <w:bCs/>
          <w:sz w:val="22"/>
          <w:szCs w:val="22"/>
          <w:lang w:eastAsia="en-US"/>
        </w:rPr>
        <w:t>ública autorizados</w:t>
      </w:r>
    </w:p>
    <w:p w:rsidR="00E14CA6" w:rsidRPr="00E14CA6" w:rsidRDefault="00E14CA6" w:rsidP="00E14CA6">
      <w:pPr>
        <w:pStyle w:val="Prrafodelista"/>
        <w:ind w:left="720"/>
        <w:rPr>
          <w:rFonts w:ascii="Arial" w:eastAsia="Calibri" w:hAnsi="Arial" w:cs="Arial"/>
          <w:bCs/>
          <w:sz w:val="22"/>
          <w:szCs w:val="22"/>
          <w:lang w:eastAsia="en-US"/>
        </w:rPr>
      </w:pPr>
    </w:p>
    <w:p w:rsidR="00E14CA6" w:rsidRPr="00E14CA6" w:rsidRDefault="00E14CA6" w:rsidP="00E14CA6">
      <w:pPr>
        <w:pStyle w:val="Prrafodelista"/>
        <w:numPr>
          <w:ilvl w:val="0"/>
          <w:numId w:val="1"/>
        </w:numPr>
        <w:ind w:left="426" w:hanging="426"/>
        <w:jc w:val="both"/>
        <w:rPr>
          <w:rFonts w:ascii="Arial" w:eastAsia="Calibri" w:hAnsi="Arial" w:cs="Arial"/>
          <w:bCs/>
          <w:sz w:val="22"/>
          <w:szCs w:val="22"/>
          <w:lang w:eastAsia="en-US"/>
        </w:rPr>
      </w:pPr>
      <w:r w:rsidRPr="00E14CA6">
        <w:rPr>
          <w:rFonts w:ascii="Arial" w:eastAsia="Calibri" w:hAnsi="Arial" w:cs="Arial"/>
          <w:bCs/>
          <w:sz w:val="22"/>
          <w:szCs w:val="22"/>
          <w:lang w:eastAsia="en-US"/>
        </w:rPr>
        <w:t xml:space="preserve">Las </w:t>
      </w:r>
      <w:r w:rsidR="008C713F">
        <w:rPr>
          <w:rFonts w:ascii="Arial" w:eastAsia="Calibri" w:hAnsi="Arial" w:cs="Arial"/>
          <w:bCs/>
          <w:sz w:val="22"/>
          <w:szCs w:val="22"/>
          <w:lang w:eastAsia="en-US"/>
        </w:rPr>
        <w:t>E</w:t>
      </w:r>
      <w:r w:rsidRPr="00E14CA6">
        <w:rPr>
          <w:rFonts w:ascii="Arial" w:eastAsia="Calibri" w:hAnsi="Arial" w:cs="Arial"/>
          <w:bCs/>
          <w:sz w:val="22"/>
          <w:szCs w:val="22"/>
          <w:lang w:eastAsia="en-US"/>
        </w:rPr>
        <w:t>jecutoras</w:t>
      </w:r>
      <w:r w:rsidR="008C713F">
        <w:rPr>
          <w:rFonts w:ascii="Arial" w:eastAsia="Calibri" w:hAnsi="Arial" w:cs="Arial"/>
          <w:bCs/>
          <w:sz w:val="22"/>
          <w:szCs w:val="22"/>
          <w:lang w:eastAsia="en-US"/>
        </w:rPr>
        <w:t xml:space="preserve"> del gasto</w:t>
      </w:r>
      <w:r w:rsidRPr="00E14CA6">
        <w:rPr>
          <w:rFonts w:ascii="Arial" w:eastAsia="Calibri" w:hAnsi="Arial" w:cs="Arial"/>
          <w:bCs/>
          <w:sz w:val="22"/>
          <w:szCs w:val="22"/>
          <w:lang w:eastAsia="en-US"/>
        </w:rPr>
        <w:t xml:space="preserve"> deberán notificar a la Secretaría de Finanzas por conducto de la Dirección de Seguimiento a la Inversión Pública sobre el inicio de los procedimientos de contratación, hasta la formalización de la misma, cabe mencionar que tal procedimiento no podrá exceder de 90 días</w:t>
      </w:r>
      <w:r w:rsidR="00245E5F">
        <w:rPr>
          <w:rFonts w:ascii="Arial" w:eastAsia="Calibri" w:hAnsi="Arial" w:cs="Arial"/>
          <w:bCs/>
          <w:sz w:val="22"/>
          <w:szCs w:val="22"/>
          <w:lang w:eastAsia="en-US"/>
        </w:rPr>
        <w:t xml:space="preserve"> naturales</w:t>
      </w:r>
      <w:r w:rsidRPr="00E14CA6">
        <w:rPr>
          <w:rFonts w:ascii="Arial" w:eastAsia="Calibri" w:hAnsi="Arial" w:cs="Arial"/>
          <w:bCs/>
          <w:sz w:val="22"/>
          <w:szCs w:val="22"/>
          <w:lang w:eastAsia="en-US"/>
        </w:rPr>
        <w:t>, salvo causas estrictamente excepcionales y debidamente justificadas que se notifiquen con la debida oportunidad, de conformidad con la normatividad aplicable.</w:t>
      </w:r>
    </w:p>
    <w:p w:rsidR="00E14CA6" w:rsidRPr="00E14CA6" w:rsidRDefault="00E14CA6" w:rsidP="00E14CA6">
      <w:pPr>
        <w:pStyle w:val="Prrafodelista"/>
        <w:ind w:left="426"/>
        <w:jc w:val="both"/>
        <w:rPr>
          <w:rFonts w:ascii="Arial" w:eastAsia="Calibri" w:hAnsi="Arial" w:cs="Arial"/>
          <w:bCs/>
          <w:sz w:val="22"/>
          <w:szCs w:val="22"/>
          <w:lang w:eastAsia="en-US"/>
        </w:rPr>
      </w:pPr>
    </w:p>
    <w:p w:rsidR="00E14CA6" w:rsidRPr="00E14CA6" w:rsidRDefault="00E14CA6" w:rsidP="00E14CA6">
      <w:pPr>
        <w:pStyle w:val="Prrafodelista"/>
        <w:numPr>
          <w:ilvl w:val="0"/>
          <w:numId w:val="1"/>
        </w:numPr>
        <w:ind w:left="426" w:hanging="426"/>
        <w:jc w:val="both"/>
        <w:rPr>
          <w:rFonts w:ascii="Arial" w:eastAsia="Calibri" w:hAnsi="Arial" w:cs="Arial"/>
          <w:bCs/>
          <w:sz w:val="22"/>
          <w:szCs w:val="22"/>
          <w:lang w:eastAsia="en-US"/>
        </w:rPr>
      </w:pPr>
      <w:r w:rsidRPr="00E14CA6">
        <w:rPr>
          <w:rFonts w:ascii="Arial" w:eastAsia="Calibri" w:hAnsi="Arial" w:cs="Arial"/>
          <w:bCs/>
          <w:sz w:val="22"/>
          <w:szCs w:val="22"/>
          <w:lang w:eastAsia="en-US"/>
        </w:rPr>
        <w:t>Los ahorros obtenidos del proceso de contratación (economía de contrato) deberán ser reintegrados exclusivamente a la cuenta de</w:t>
      </w:r>
      <w:r w:rsidR="00DA3358">
        <w:rPr>
          <w:rFonts w:ascii="Arial" w:eastAsia="Calibri" w:hAnsi="Arial" w:cs="Arial"/>
          <w:bCs/>
          <w:sz w:val="22"/>
          <w:szCs w:val="22"/>
          <w:lang w:eastAsia="en-US"/>
        </w:rPr>
        <w:t xml:space="preserve"> </w:t>
      </w:r>
      <w:r w:rsidR="00F854A5">
        <w:rPr>
          <w:rFonts w:ascii="Arial" w:eastAsia="Calibri" w:hAnsi="Arial" w:cs="Arial"/>
          <w:bCs/>
          <w:sz w:val="22"/>
          <w:szCs w:val="22"/>
          <w:lang w:eastAsia="en-US"/>
        </w:rPr>
        <w:t>l</w:t>
      </w:r>
      <w:r w:rsidR="00DA3358">
        <w:rPr>
          <w:rFonts w:ascii="Arial" w:eastAsia="Calibri" w:hAnsi="Arial" w:cs="Arial"/>
          <w:bCs/>
          <w:sz w:val="22"/>
          <w:szCs w:val="22"/>
          <w:lang w:eastAsia="en-US"/>
        </w:rPr>
        <w:t>a Bolsa</w:t>
      </w:r>
      <w:r w:rsidRPr="00E14CA6">
        <w:rPr>
          <w:rFonts w:ascii="Arial" w:eastAsia="Calibri" w:hAnsi="Arial" w:cs="Arial"/>
          <w:bCs/>
          <w:sz w:val="22"/>
          <w:szCs w:val="22"/>
          <w:lang w:eastAsia="en-US"/>
        </w:rPr>
        <w:t xml:space="preserve">, a más tardar a los 10 días </w:t>
      </w:r>
      <w:r w:rsidR="00576BFC">
        <w:rPr>
          <w:rFonts w:ascii="Arial" w:eastAsia="Calibri" w:hAnsi="Arial" w:cs="Arial"/>
          <w:bCs/>
          <w:sz w:val="22"/>
          <w:szCs w:val="22"/>
          <w:lang w:eastAsia="en-US"/>
        </w:rPr>
        <w:t xml:space="preserve">hábiles </w:t>
      </w:r>
      <w:r w:rsidRPr="00E14CA6">
        <w:rPr>
          <w:rFonts w:ascii="Arial" w:eastAsia="Calibri" w:hAnsi="Arial" w:cs="Arial"/>
          <w:bCs/>
          <w:sz w:val="22"/>
          <w:szCs w:val="22"/>
          <w:lang w:eastAsia="en-US"/>
        </w:rPr>
        <w:t>posteriores a la formalización del contrato, aspecto que deberá ser comunicado inmediatamente la Secretaría de Finanzas por conducto de la Dirección de Seguimiento a la Inversión Pública en la fecha de la realización del reintegro, la comunicación deberá realizarse de manera oficial adjuntando la documentación comprobatoria correspondiente.</w:t>
      </w:r>
    </w:p>
    <w:p w:rsidR="00E14CA6" w:rsidRPr="00E14CA6" w:rsidRDefault="00E14CA6" w:rsidP="00E14CA6">
      <w:pPr>
        <w:pStyle w:val="Prrafodelista"/>
        <w:rPr>
          <w:rFonts w:ascii="Arial" w:eastAsia="Calibri" w:hAnsi="Arial" w:cs="Arial"/>
          <w:bCs/>
          <w:sz w:val="22"/>
          <w:szCs w:val="22"/>
          <w:lang w:eastAsia="en-US"/>
        </w:rPr>
      </w:pPr>
    </w:p>
    <w:p w:rsidR="00E14CA6" w:rsidRPr="00E14CA6" w:rsidRDefault="00E14CA6" w:rsidP="00E14CA6">
      <w:pPr>
        <w:pStyle w:val="Prrafodelista"/>
        <w:numPr>
          <w:ilvl w:val="0"/>
          <w:numId w:val="1"/>
        </w:numPr>
        <w:ind w:left="426" w:hanging="426"/>
        <w:jc w:val="both"/>
        <w:rPr>
          <w:rFonts w:ascii="Arial" w:eastAsia="Calibri" w:hAnsi="Arial" w:cs="Arial"/>
          <w:bCs/>
          <w:sz w:val="22"/>
          <w:szCs w:val="22"/>
          <w:lang w:eastAsia="en-US"/>
        </w:rPr>
      </w:pPr>
      <w:r w:rsidRPr="00E14CA6">
        <w:rPr>
          <w:rFonts w:ascii="Arial" w:eastAsia="Calibri" w:hAnsi="Arial" w:cs="Arial"/>
          <w:bCs/>
          <w:sz w:val="22"/>
          <w:szCs w:val="22"/>
          <w:lang w:eastAsia="en-US"/>
        </w:rPr>
        <w:t xml:space="preserve">Las </w:t>
      </w:r>
      <w:r w:rsidR="008C713F">
        <w:rPr>
          <w:rFonts w:ascii="Arial" w:eastAsia="Calibri" w:hAnsi="Arial" w:cs="Arial"/>
          <w:bCs/>
          <w:sz w:val="22"/>
          <w:szCs w:val="22"/>
          <w:lang w:eastAsia="en-US"/>
        </w:rPr>
        <w:t>E</w:t>
      </w:r>
      <w:r w:rsidRPr="00E14CA6">
        <w:rPr>
          <w:rFonts w:ascii="Arial" w:eastAsia="Calibri" w:hAnsi="Arial" w:cs="Arial"/>
          <w:bCs/>
          <w:sz w:val="22"/>
          <w:szCs w:val="22"/>
          <w:lang w:eastAsia="en-US"/>
        </w:rPr>
        <w:t>jecutoras</w:t>
      </w:r>
      <w:r w:rsidR="008C713F">
        <w:rPr>
          <w:rFonts w:ascii="Arial" w:eastAsia="Calibri" w:hAnsi="Arial" w:cs="Arial"/>
          <w:bCs/>
          <w:sz w:val="22"/>
          <w:szCs w:val="22"/>
          <w:lang w:eastAsia="en-US"/>
        </w:rPr>
        <w:t xml:space="preserve"> del gasto</w:t>
      </w:r>
      <w:r w:rsidRPr="00E14CA6">
        <w:rPr>
          <w:rFonts w:ascii="Arial" w:eastAsia="Calibri" w:hAnsi="Arial" w:cs="Arial"/>
          <w:bCs/>
          <w:sz w:val="22"/>
          <w:szCs w:val="22"/>
          <w:lang w:eastAsia="en-US"/>
        </w:rPr>
        <w:t xml:space="preserve"> deberán presentar de manera mensual ante la Secretaría de Finanzas por conducto de la Dirección de Seguimiento a la Inversión Pública los avances físicos y financieros en el formato proporcionado para el efecto.</w:t>
      </w:r>
    </w:p>
    <w:p w:rsidR="00E14CA6" w:rsidRPr="00E14CA6" w:rsidRDefault="00E14CA6" w:rsidP="00E14CA6">
      <w:pPr>
        <w:pStyle w:val="Prrafodelista"/>
        <w:rPr>
          <w:rFonts w:ascii="Arial" w:eastAsia="Calibri" w:hAnsi="Arial" w:cs="Arial"/>
          <w:bCs/>
          <w:sz w:val="22"/>
          <w:szCs w:val="22"/>
          <w:lang w:eastAsia="en-US"/>
        </w:rPr>
      </w:pPr>
    </w:p>
    <w:p w:rsidR="00E14CA6" w:rsidRPr="00E14CA6" w:rsidRDefault="00E14CA6" w:rsidP="00E14CA6">
      <w:pPr>
        <w:pStyle w:val="Prrafodelista"/>
        <w:ind w:left="426"/>
        <w:jc w:val="both"/>
        <w:rPr>
          <w:rFonts w:ascii="Arial" w:eastAsia="Calibri" w:hAnsi="Arial" w:cs="Arial"/>
          <w:bCs/>
          <w:sz w:val="22"/>
          <w:szCs w:val="22"/>
          <w:lang w:eastAsia="en-US"/>
        </w:rPr>
      </w:pPr>
    </w:p>
    <w:p w:rsidR="00E14CA6" w:rsidRPr="00E14CA6" w:rsidRDefault="00E14CA6" w:rsidP="00E14CA6">
      <w:pPr>
        <w:pStyle w:val="Prrafodelista"/>
        <w:numPr>
          <w:ilvl w:val="0"/>
          <w:numId w:val="1"/>
        </w:numPr>
        <w:ind w:left="426" w:hanging="426"/>
        <w:jc w:val="both"/>
        <w:rPr>
          <w:rFonts w:ascii="Arial" w:eastAsia="Calibri" w:hAnsi="Arial" w:cs="Arial"/>
          <w:bCs/>
          <w:sz w:val="22"/>
          <w:szCs w:val="22"/>
          <w:lang w:eastAsia="en-US"/>
        </w:rPr>
      </w:pPr>
      <w:r w:rsidRPr="00E14CA6">
        <w:rPr>
          <w:rFonts w:ascii="Arial" w:eastAsia="Calibri" w:hAnsi="Arial" w:cs="Arial"/>
          <w:bCs/>
          <w:sz w:val="22"/>
          <w:szCs w:val="22"/>
          <w:lang w:eastAsia="en-US"/>
        </w:rPr>
        <w:t xml:space="preserve">Las </w:t>
      </w:r>
      <w:r w:rsidR="008C713F">
        <w:rPr>
          <w:rFonts w:ascii="Arial" w:eastAsia="Calibri" w:hAnsi="Arial" w:cs="Arial"/>
          <w:bCs/>
          <w:sz w:val="22"/>
          <w:szCs w:val="22"/>
          <w:lang w:eastAsia="en-US"/>
        </w:rPr>
        <w:t>E</w:t>
      </w:r>
      <w:r w:rsidRPr="00E14CA6">
        <w:rPr>
          <w:rFonts w:ascii="Arial" w:eastAsia="Calibri" w:hAnsi="Arial" w:cs="Arial"/>
          <w:bCs/>
          <w:sz w:val="22"/>
          <w:szCs w:val="22"/>
          <w:lang w:eastAsia="en-US"/>
        </w:rPr>
        <w:t>jecutoras</w:t>
      </w:r>
      <w:r w:rsidR="008C713F">
        <w:rPr>
          <w:rFonts w:ascii="Arial" w:eastAsia="Calibri" w:hAnsi="Arial" w:cs="Arial"/>
          <w:bCs/>
          <w:sz w:val="22"/>
          <w:szCs w:val="22"/>
          <w:lang w:eastAsia="en-US"/>
        </w:rPr>
        <w:t xml:space="preserve"> del gasto</w:t>
      </w:r>
      <w:r w:rsidRPr="00E14CA6">
        <w:rPr>
          <w:rFonts w:ascii="Arial" w:eastAsia="Calibri" w:hAnsi="Arial" w:cs="Arial"/>
          <w:bCs/>
          <w:sz w:val="22"/>
          <w:szCs w:val="22"/>
          <w:lang w:eastAsia="en-US"/>
        </w:rPr>
        <w:t xml:space="preserve"> se obligan a notificar a la Subsecretaría de Planeación e Inversión Pública, por conducto de la Dirección de Seguimiento a la Inversión Pública, sobre las situaciones contingentes, supervenientes o excepcionales que se presenten durante la ejecución y que afecten la correcta marcha de los trabajos.</w:t>
      </w:r>
    </w:p>
    <w:p w:rsidR="00E14CA6" w:rsidRPr="00E14CA6" w:rsidRDefault="00E14CA6" w:rsidP="00E14CA6">
      <w:pPr>
        <w:pStyle w:val="Prrafodelista"/>
        <w:rPr>
          <w:rFonts w:ascii="Arial" w:eastAsia="Calibri" w:hAnsi="Arial" w:cs="Arial"/>
          <w:bCs/>
          <w:sz w:val="22"/>
          <w:szCs w:val="22"/>
          <w:lang w:eastAsia="en-US"/>
        </w:rPr>
      </w:pPr>
    </w:p>
    <w:p w:rsidR="00E14CA6" w:rsidRPr="00E14CA6" w:rsidRDefault="00E14CA6" w:rsidP="00E14CA6">
      <w:pPr>
        <w:pStyle w:val="Prrafodelista"/>
        <w:numPr>
          <w:ilvl w:val="0"/>
          <w:numId w:val="1"/>
        </w:numPr>
        <w:ind w:left="426" w:hanging="426"/>
        <w:jc w:val="both"/>
        <w:rPr>
          <w:rFonts w:ascii="Arial" w:eastAsia="Calibri" w:hAnsi="Arial" w:cs="Arial"/>
          <w:bCs/>
          <w:sz w:val="22"/>
          <w:szCs w:val="22"/>
          <w:lang w:eastAsia="en-US"/>
        </w:rPr>
      </w:pPr>
      <w:r w:rsidRPr="00E14CA6">
        <w:rPr>
          <w:rFonts w:ascii="Arial" w:eastAsia="Calibri" w:hAnsi="Arial" w:cs="Arial"/>
          <w:bCs/>
          <w:sz w:val="22"/>
          <w:szCs w:val="22"/>
          <w:lang w:eastAsia="en-US"/>
        </w:rPr>
        <w:t xml:space="preserve">Las </w:t>
      </w:r>
      <w:r w:rsidR="00427D59">
        <w:rPr>
          <w:rFonts w:ascii="Arial" w:eastAsia="Calibri" w:hAnsi="Arial" w:cs="Arial"/>
          <w:bCs/>
          <w:sz w:val="22"/>
          <w:szCs w:val="22"/>
          <w:lang w:eastAsia="en-US"/>
        </w:rPr>
        <w:t>E</w:t>
      </w:r>
      <w:r w:rsidRPr="00E14CA6">
        <w:rPr>
          <w:rFonts w:ascii="Arial" w:eastAsia="Calibri" w:hAnsi="Arial" w:cs="Arial"/>
          <w:bCs/>
          <w:sz w:val="22"/>
          <w:szCs w:val="22"/>
          <w:lang w:eastAsia="en-US"/>
        </w:rPr>
        <w:t>jecutoras</w:t>
      </w:r>
      <w:r w:rsidR="00427D59">
        <w:rPr>
          <w:rFonts w:ascii="Arial" w:eastAsia="Calibri" w:hAnsi="Arial" w:cs="Arial"/>
          <w:bCs/>
          <w:sz w:val="22"/>
          <w:szCs w:val="22"/>
          <w:lang w:eastAsia="en-US"/>
        </w:rPr>
        <w:t xml:space="preserve"> del gasto</w:t>
      </w:r>
      <w:r w:rsidRPr="00E14CA6">
        <w:rPr>
          <w:rFonts w:ascii="Arial" w:eastAsia="Calibri" w:hAnsi="Arial" w:cs="Arial"/>
          <w:bCs/>
          <w:sz w:val="22"/>
          <w:szCs w:val="22"/>
          <w:lang w:eastAsia="en-US"/>
        </w:rPr>
        <w:t xml:space="preserve"> deberán presentar dentro de los 20 días naturales inmediatos a la conclusión de los Proyectos </w:t>
      </w:r>
      <w:r w:rsidR="00631E70">
        <w:rPr>
          <w:rFonts w:ascii="Arial" w:eastAsia="Calibri" w:hAnsi="Arial" w:cs="Arial"/>
          <w:bCs/>
          <w:sz w:val="22"/>
          <w:szCs w:val="22"/>
          <w:lang w:eastAsia="en-US"/>
        </w:rPr>
        <w:t xml:space="preserve">de Inversión Pública </w:t>
      </w:r>
      <w:r w:rsidRPr="00E14CA6">
        <w:rPr>
          <w:rFonts w:ascii="Arial" w:eastAsia="Calibri" w:hAnsi="Arial" w:cs="Arial"/>
          <w:bCs/>
          <w:sz w:val="22"/>
          <w:szCs w:val="22"/>
          <w:lang w:eastAsia="en-US"/>
        </w:rPr>
        <w:t>ante la Subsecretaría de Planeación e Inversión Pública, por conducto de la Dirección de Seguimiento a la Inversión Pública el Informe de cierre acompañado de la documentación comprobatoria correspondiente, misma que contendrá adicionalmente un</w:t>
      </w:r>
      <w:r w:rsidR="00631E70">
        <w:rPr>
          <w:rFonts w:ascii="Arial" w:eastAsia="Calibri" w:hAnsi="Arial" w:cs="Arial"/>
          <w:bCs/>
          <w:sz w:val="22"/>
          <w:szCs w:val="22"/>
          <w:lang w:eastAsia="en-US"/>
        </w:rPr>
        <w:t>a memoria fotográfica</w:t>
      </w:r>
      <w:r w:rsidRPr="00E14CA6">
        <w:rPr>
          <w:rFonts w:ascii="Arial" w:eastAsia="Calibri" w:hAnsi="Arial" w:cs="Arial"/>
          <w:bCs/>
          <w:sz w:val="22"/>
          <w:szCs w:val="22"/>
          <w:lang w:eastAsia="en-US"/>
        </w:rPr>
        <w:t>, acta entrega-recepción y en su caso el comprobante de reintegros de recursos no ejercidos.</w:t>
      </w:r>
    </w:p>
    <w:p w:rsidR="00E14CA6" w:rsidRPr="00E14CA6" w:rsidRDefault="00E14CA6" w:rsidP="00E14CA6">
      <w:pPr>
        <w:pStyle w:val="Prrafodelista"/>
        <w:rPr>
          <w:rFonts w:ascii="Arial" w:eastAsia="Calibri" w:hAnsi="Arial" w:cs="Arial"/>
          <w:bCs/>
          <w:sz w:val="22"/>
          <w:szCs w:val="22"/>
          <w:lang w:eastAsia="en-US"/>
        </w:rPr>
      </w:pPr>
    </w:p>
    <w:p w:rsidR="00E14CA6" w:rsidRPr="00E14CA6" w:rsidRDefault="00E14CA6" w:rsidP="00E14CA6">
      <w:pPr>
        <w:pStyle w:val="Prrafodelista"/>
        <w:ind w:left="426"/>
        <w:jc w:val="both"/>
        <w:rPr>
          <w:rFonts w:ascii="Arial" w:eastAsia="Calibri" w:hAnsi="Arial" w:cs="Arial"/>
          <w:bCs/>
          <w:sz w:val="22"/>
          <w:szCs w:val="22"/>
          <w:lang w:eastAsia="en-US"/>
        </w:rPr>
      </w:pPr>
      <w:r w:rsidRPr="00E14CA6">
        <w:rPr>
          <w:rFonts w:ascii="Arial" w:eastAsia="Calibri" w:hAnsi="Arial" w:cs="Arial"/>
          <w:bCs/>
          <w:sz w:val="22"/>
          <w:szCs w:val="22"/>
          <w:lang w:eastAsia="en-US"/>
        </w:rPr>
        <w:t xml:space="preserve">Los recursos no ejercidos deberán reintegrarse a más tardar a los 10 días </w:t>
      </w:r>
      <w:r w:rsidR="00486739">
        <w:rPr>
          <w:rFonts w:ascii="Arial" w:eastAsia="Calibri" w:hAnsi="Arial" w:cs="Arial"/>
          <w:bCs/>
          <w:sz w:val="22"/>
          <w:szCs w:val="22"/>
          <w:lang w:eastAsia="en-US"/>
        </w:rPr>
        <w:t xml:space="preserve">hábiles </w:t>
      </w:r>
      <w:r w:rsidRPr="00E14CA6">
        <w:rPr>
          <w:rFonts w:ascii="Arial" w:eastAsia="Calibri" w:hAnsi="Arial" w:cs="Arial"/>
          <w:bCs/>
          <w:sz w:val="22"/>
          <w:szCs w:val="22"/>
          <w:lang w:eastAsia="en-US"/>
        </w:rPr>
        <w:t>posteriores a la conclusión de los Proyectos de Inversión Pública.</w:t>
      </w:r>
    </w:p>
    <w:p w:rsidR="00E14CA6" w:rsidRPr="00E14CA6" w:rsidRDefault="00E14CA6" w:rsidP="00E14CA6">
      <w:pPr>
        <w:pStyle w:val="Prrafodelista"/>
        <w:ind w:left="426"/>
        <w:jc w:val="both"/>
        <w:rPr>
          <w:rFonts w:ascii="Arial" w:eastAsia="Calibri" w:hAnsi="Arial" w:cs="Arial"/>
          <w:bCs/>
          <w:sz w:val="22"/>
          <w:szCs w:val="22"/>
          <w:lang w:eastAsia="en-US"/>
        </w:rPr>
      </w:pPr>
    </w:p>
    <w:p w:rsidR="00E14CA6" w:rsidRPr="00E14CA6" w:rsidRDefault="00E14CA6" w:rsidP="00E14CA6">
      <w:pPr>
        <w:pStyle w:val="Prrafodelista"/>
        <w:numPr>
          <w:ilvl w:val="0"/>
          <w:numId w:val="1"/>
        </w:numPr>
        <w:ind w:left="426" w:hanging="426"/>
        <w:jc w:val="both"/>
        <w:rPr>
          <w:rFonts w:ascii="Arial" w:eastAsia="Calibri" w:hAnsi="Arial" w:cs="Arial"/>
          <w:bCs/>
          <w:sz w:val="22"/>
          <w:szCs w:val="22"/>
          <w:lang w:eastAsia="en-US"/>
        </w:rPr>
      </w:pPr>
      <w:r w:rsidRPr="00E14CA6">
        <w:rPr>
          <w:rFonts w:ascii="Arial" w:eastAsia="Calibri" w:hAnsi="Arial" w:cs="Arial"/>
          <w:bCs/>
          <w:sz w:val="22"/>
          <w:szCs w:val="22"/>
          <w:lang w:eastAsia="en-US"/>
        </w:rPr>
        <w:t xml:space="preserve">Las </w:t>
      </w:r>
      <w:r w:rsidR="00427D59">
        <w:rPr>
          <w:rFonts w:ascii="Arial" w:eastAsia="Calibri" w:hAnsi="Arial" w:cs="Arial"/>
          <w:bCs/>
          <w:sz w:val="22"/>
          <w:szCs w:val="22"/>
          <w:lang w:eastAsia="en-US"/>
        </w:rPr>
        <w:t>E</w:t>
      </w:r>
      <w:r w:rsidRPr="00E14CA6">
        <w:rPr>
          <w:rFonts w:ascii="Arial" w:eastAsia="Calibri" w:hAnsi="Arial" w:cs="Arial"/>
          <w:bCs/>
          <w:sz w:val="22"/>
          <w:szCs w:val="22"/>
          <w:lang w:eastAsia="en-US"/>
        </w:rPr>
        <w:t>jecutoras</w:t>
      </w:r>
      <w:r w:rsidR="00427D59">
        <w:rPr>
          <w:rFonts w:ascii="Arial" w:eastAsia="Calibri" w:hAnsi="Arial" w:cs="Arial"/>
          <w:bCs/>
          <w:sz w:val="22"/>
          <w:szCs w:val="22"/>
          <w:lang w:eastAsia="en-US"/>
        </w:rPr>
        <w:t xml:space="preserve"> del gasto</w:t>
      </w:r>
      <w:r w:rsidRPr="00E14CA6">
        <w:rPr>
          <w:rFonts w:ascii="Arial" w:eastAsia="Calibri" w:hAnsi="Arial" w:cs="Arial"/>
          <w:bCs/>
          <w:sz w:val="22"/>
          <w:szCs w:val="22"/>
          <w:lang w:eastAsia="en-US"/>
        </w:rPr>
        <w:t xml:space="preserve"> deberán registrar oportunamente los movimientos contables y/o presupuestales que realicen en el Sistema Estatal de Finanzas Públicas.</w:t>
      </w:r>
    </w:p>
    <w:p w:rsidR="00E14CA6" w:rsidRPr="00E14CA6" w:rsidRDefault="00E14CA6" w:rsidP="00E14CA6">
      <w:pPr>
        <w:pStyle w:val="Prrafodelista"/>
        <w:rPr>
          <w:rFonts w:ascii="Arial" w:eastAsia="Calibri" w:hAnsi="Arial" w:cs="Arial"/>
          <w:bCs/>
          <w:sz w:val="22"/>
          <w:szCs w:val="22"/>
          <w:lang w:eastAsia="en-US"/>
        </w:rPr>
      </w:pPr>
    </w:p>
    <w:p w:rsidR="00E14CA6" w:rsidRPr="00E14CA6" w:rsidRDefault="00E14CA6" w:rsidP="00E14CA6">
      <w:pPr>
        <w:pStyle w:val="Prrafodelista"/>
        <w:numPr>
          <w:ilvl w:val="0"/>
          <w:numId w:val="1"/>
        </w:numPr>
        <w:ind w:left="426" w:hanging="426"/>
        <w:jc w:val="both"/>
        <w:rPr>
          <w:rFonts w:ascii="Arial" w:eastAsia="Calibri" w:hAnsi="Arial" w:cs="Arial"/>
          <w:bCs/>
          <w:sz w:val="22"/>
          <w:szCs w:val="22"/>
          <w:lang w:eastAsia="en-US"/>
        </w:rPr>
      </w:pPr>
      <w:r w:rsidRPr="00E14CA6">
        <w:rPr>
          <w:rFonts w:ascii="Arial" w:eastAsia="Calibri" w:hAnsi="Arial" w:cs="Arial"/>
          <w:bCs/>
          <w:sz w:val="22"/>
          <w:szCs w:val="22"/>
          <w:lang w:eastAsia="en-US"/>
        </w:rPr>
        <w:t>Los recursos que sean reintegrados a la cuenta de</w:t>
      </w:r>
      <w:r w:rsidR="00631E70">
        <w:rPr>
          <w:rFonts w:ascii="Arial" w:eastAsia="Calibri" w:hAnsi="Arial" w:cs="Arial"/>
          <w:bCs/>
          <w:sz w:val="22"/>
          <w:szCs w:val="22"/>
          <w:lang w:eastAsia="en-US"/>
        </w:rPr>
        <w:t xml:space="preserve"> </w:t>
      </w:r>
      <w:r w:rsidRPr="00E14CA6">
        <w:rPr>
          <w:rFonts w:ascii="Arial" w:eastAsia="Calibri" w:hAnsi="Arial" w:cs="Arial"/>
          <w:bCs/>
          <w:sz w:val="22"/>
          <w:szCs w:val="22"/>
          <w:lang w:eastAsia="en-US"/>
        </w:rPr>
        <w:t>l</w:t>
      </w:r>
      <w:r w:rsidR="00631E70">
        <w:rPr>
          <w:rFonts w:ascii="Arial" w:eastAsia="Calibri" w:hAnsi="Arial" w:cs="Arial"/>
          <w:bCs/>
          <w:sz w:val="22"/>
          <w:szCs w:val="22"/>
          <w:lang w:eastAsia="en-US"/>
        </w:rPr>
        <w:t>a Bolsa</w:t>
      </w:r>
      <w:r w:rsidRPr="00E14CA6">
        <w:rPr>
          <w:rFonts w:ascii="Arial" w:eastAsia="Calibri" w:hAnsi="Arial" w:cs="Arial"/>
          <w:bCs/>
          <w:sz w:val="22"/>
          <w:szCs w:val="22"/>
          <w:lang w:eastAsia="en-US"/>
        </w:rPr>
        <w:t xml:space="preserve"> por concepto de economías, rendimientos financieros o remanentes se constituirán en patrimonio disponible de</w:t>
      </w:r>
      <w:r w:rsidR="00631E70">
        <w:rPr>
          <w:rFonts w:ascii="Arial" w:eastAsia="Calibri" w:hAnsi="Arial" w:cs="Arial"/>
          <w:bCs/>
          <w:sz w:val="22"/>
          <w:szCs w:val="22"/>
          <w:lang w:eastAsia="en-US"/>
        </w:rPr>
        <w:t xml:space="preserve"> </w:t>
      </w:r>
      <w:r w:rsidRPr="00E14CA6">
        <w:rPr>
          <w:rFonts w:ascii="Arial" w:eastAsia="Calibri" w:hAnsi="Arial" w:cs="Arial"/>
          <w:bCs/>
          <w:sz w:val="22"/>
          <w:szCs w:val="22"/>
          <w:lang w:eastAsia="en-US"/>
        </w:rPr>
        <w:t>l</w:t>
      </w:r>
      <w:r w:rsidR="00631E70">
        <w:rPr>
          <w:rFonts w:ascii="Arial" w:eastAsia="Calibri" w:hAnsi="Arial" w:cs="Arial"/>
          <w:bCs/>
          <w:sz w:val="22"/>
          <w:szCs w:val="22"/>
          <w:lang w:eastAsia="en-US"/>
        </w:rPr>
        <w:t>a</w:t>
      </w:r>
      <w:r w:rsidRPr="00E14CA6">
        <w:rPr>
          <w:rFonts w:ascii="Arial" w:eastAsia="Calibri" w:hAnsi="Arial" w:cs="Arial"/>
          <w:bCs/>
          <w:sz w:val="22"/>
          <w:szCs w:val="22"/>
          <w:lang w:eastAsia="en-US"/>
        </w:rPr>
        <w:t xml:space="preserve"> </w:t>
      </w:r>
      <w:r w:rsidR="00631E70">
        <w:rPr>
          <w:rFonts w:ascii="Arial" w:eastAsia="Calibri" w:hAnsi="Arial" w:cs="Arial"/>
          <w:bCs/>
          <w:sz w:val="22"/>
          <w:szCs w:val="22"/>
          <w:lang w:eastAsia="en-US"/>
        </w:rPr>
        <w:t>Bolsa</w:t>
      </w:r>
      <w:r w:rsidRPr="00E14CA6">
        <w:rPr>
          <w:rFonts w:ascii="Arial" w:eastAsia="Calibri" w:hAnsi="Arial" w:cs="Arial"/>
          <w:bCs/>
          <w:sz w:val="22"/>
          <w:szCs w:val="22"/>
          <w:lang w:eastAsia="en-US"/>
        </w:rPr>
        <w:t>.</w:t>
      </w:r>
    </w:p>
    <w:p w:rsidR="00E14CA6" w:rsidRPr="00E14CA6" w:rsidRDefault="00E14CA6" w:rsidP="00631E70">
      <w:pPr>
        <w:spacing w:after="0"/>
        <w:rPr>
          <w:rFonts w:ascii="Arial" w:eastAsia="Calibri" w:hAnsi="Arial" w:cs="Arial"/>
          <w:bCs/>
        </w:rPr>
      </w:pPr>
    </w:p>
    <w:p w:rsidR="00E14CA6" w:rsidRPr="00E14CA6" w:rsidRDefault="00E14CA6" w:rsidP="00E14CA6">
      <w:pPr>
        <w:pStyle w:val="Prrafodelista"/>
        <w:numPr>
          <w:ilvl w:val="0"/>
          <w:numId w:val="1"/>
        </w:numPr>
        <w:ind w:left="426" w:hanging="426"/>
        <w:jc w:val="both"/>
        <w:rPr>
          <w:rFonts w:ascii="Arial" w:eastAsia="Calibri" w:hAnsi="Arial" w:cs="Arial"/>
          <w:bCs/>
          <w:sz w:val="22"/>
          <w:szCs w:val="22"/>
          <w:lang w:eastAsia="en-US"/>
        </w:rPr>
      </w:pPr>
      <w:r w:rsidRPr="00E14CA6">
        <w:rPr>
          <w:rFonts w:ascii="Arial" w:eastAsia="Calibri" w:hAnsi="Arial" w:cs="Arial"/>
          <w:bCs/>
          <w:sz w:val="22"/>
          <w:szCs w:val="22"/>
          <w:lang w:eastAsia="en-US"/>
        </w:rPr>
        <w:t xml:space="preserve">La falta de información en términos del presente capítulo se tomará en cuenta para </w:t>
      </w:r>
      <w:r w:rsidR="002809C5">
        <w:rPr>
          <w:rFonts w:ascii="Arial" w:eastAsia="Calibri" w:hAnsi="Arial" w:cs="Arial"/>
          <w:bCs/>
          <w:sz w:val="22"/>
          <w:szCs w:val="22"/>
          <w:lang w:eastAsia="en-US"/>
        </w:rPr>
        <w:t xml:space="preserve">autorizar </w:t>
      </w:r>
      <w:r w:rsidRPr="00E14CA6">
        <w:rPr>
          <w:rFonts w:ascii="Arial" w:eastAsia="Calibri" w:hAnsi="Arial" w:cs="Arial"/>
          <w:bCs/>
          <w:sz w:val="22"/>
          <w:szCs w:val="22"/>
          <w:lang w:eastAsia="en-US"/>
        </w:rPr>
        <w:t>solicitudes posteriores, ya que contar con información opor</w:t>
      </w:r>
      <w:r w:rsidR="002809C5">
        <w:rPr>
          <w:rFonts w:ascii="Arial" w:eastAsia="Calibri" w:hAnsi="Arial" w:cs="Arial"/>
          <w:bCs/>
          <w:sz w:val="22"/>
          <w:szCs w:val="22"/>
          <w:lang w:eastAsia="en-US"/>
        </w:rPr>
        <w:t>tuna sobre la ejecución de los P</w:t>
      </w:r>
      <w:r w:rsidRPr="00E14CA6">
        <w:rPr>
          <w:rFonts w:ascii="Arial" w:eastAsia="Calibri" w:hAnsi="Arial" w:cs="Arial"/>
          <w:bCs/>
          <w:sz w:val="22"/>
          <w:szCs w:val="22"/>
          <w:lang w:eastAsia="en-US"/>
        </w:rPr>
        <w:t>royectos</w:t>
      </w:r>
      <w:r w:rsidR="002809C5">
        <w:rPr>
          <w:rFonts w:ascii="Arial" w:eastAsia="Calibri" w:hAnsi="Arial" w:cs="Arial"/>
          <w:bCs/>
          <w:sz w:val="22"/>
          <w:szCs w:val="22"/>
          <w:lang w:eastAsia="en-US"/>
        </w:rPr>
        <w:t xml:space="preserve"> de Inversión Pública</w:t>
      </w:r>
      <w:r w:rsidRPr="00E14CA6">
        <w:rPr>
          <w:rFonts w:ascii="Arial" w:eastAsia="Calibri" w:hAnsi="Arial" w:cs="Arial"/>
          <w:bCs/>
          <w:sz w:val="22"/>
          <w:szCs w:val="22"/>
          <w:lang w:eastAsia="en-US"/>
        </w:rPr>
        <w:t xml:space="preserve"> autorizados es un aspecto indispensable para la Secretaría de Finanzas.</w:t>
      </w:r>
    </w:p>
    <w:p w:rsidR="00E14CA6" w:rsidRPr="006E580F" w:rsidRDefault="00E14CA6" w:rsidP="00E14CA6">
      <w:pPr>
        <w:spacing w:line="240" w:lineRule="auto"/>
        <w:contextualSpacing/>
        <w:jc w:val="center"/>
        <w:rPr>
          <w:rFonts w:ascii="Arial" w:hAnsi="Arial" w:cs="Arial"/>
          <w:b/>
          <w:color w:val="000000" w:themeColor="text1"/>
          <w:sz w:val="24"/>
          <w:szCs w:val="24"/>
          <w:lang w:val="es-ES" w:eastAsia="es-ES"/>
        </w:rPr>
      </w:pPr>
    </w:p>
    <w:p w:rsidR="00E14CA6" w:rsidRPr="006E580F" w:rsidRDefault="00E14CA6" w:rsidP="00E14CA6">
      <w:pPr>
        <w:spacing w:line="240" w:lineRule="auto"/>
        <w:contextualSpacing/>
        <w:jc w:val="center"/>
        <w:rPr>
          <w:rFonts w:ascii="Arial" w:hAnsi="Arial" w:cs="Arial"/>
          <w:b/>
          <w:color w:val="000000" w:themeColor="text1"/>
          <w:sz w:val="24"/>
          <w:szCs w:val="24"/>
          <w:lang w:val="es-ES" w:eastAsia="es-ES"/>
        </w:rPr>
      </w:pPr>
      <w:r w:rsidRPr="006E580F">
        <w:rPr>
          <w:rFonts w:ascii="Arial" w:hAnsi="Arial" w:cs="Arial"/>
          <w:b/>
          <w:color w:val="000000" w:themeColor="text1"/>
          <w:sz w:val="24"/>
          <w:szCs w:val="24"/>
          <w:lang w:val="es-ES" w:eastAsia="es-ES"/>
        </w:rPr>
        <w:t>TRANSITORIO</w:t>
      </w:r>
      <w:r>
        <w:rPr>
          <w:rFonts w:ascii="Arial" w:hAnsi="Arial" w:cs="Arial"/>
          <w:b/>
          <w:color w:val="000000" w:themeColor="text1"/>
          <w:sz w:val="24"/>
          <w:szCs w:val="24"/>
          <w:lang w:val="es-ES" w:eastAsia="es-ES"/>
        </w:rPr>
        <w:t>S</w:t>
      </w:r>
    </w:p>
    <w:p w:rsidR="00E14CA6" w:rsidRPr="006E580F" w:rsidRDefault="00E14CA6" w:rsidP="00E14CA6">
      <w:pPr>
        <w:spacing w:line="240" w:lineRule="auto"/>
        <w:contextualSpacing/>
        <w:jc w:val="center"/>
        <w:rPr>
          <w:rFonts w:ascii="Arial" w:hAnsi="Arial" w:cs="Arial"/>
          <w:b/>
          <w:color w:val="000000" w:themeColor="text1"/>
          <w:sz w:val="24"/>
          <w:szCs w:val="24"/>
          <w:lang w:val="es-ES" w:eastAsia="es-ES"/>
        </w:rPr>
      </w:pPr>
    </w:p>
    <w:p w:rsidR="00E14CA6" w:rsidRDefault="00E14CA6" w:rsidP="00E14CA6">
      <w:pPr>
        <w:spacing w:line="276" w:lineRule="auto"/>
        <w:contextualSpacing/>
        <w:rPr>
          <w:rFonts w:ascii="Arial" w:hAnsi="Arial" w:cs="Arial"/>
          <w:color w:val="000000" w:themeColor="text1"/>
          <w:lang w:val="es-ES" w:eastAsia="es-ES"/>
        </w:rPr>
      </w:pPr>
      <w:r>
        <w:rPr>
          <w:rFonts w:ascii="Arial" w:hAnsi="Arial" w:cs="Arial"/>
          <w:b/>
          <w:color w:val="000000" w:themeColor="text1"/>
          <w:lang w:val="es-ES" w:eastAsia="es-ES"/>
        </w:rPr>
        <w:t>Primero</w:t>
      </w:r>
      <w:r w:rsidRPr="006E580F">
        <w:rPr>
          <w:rFonts w:ascii="Arial" w:hAnsi="Arial" w:cs="Arial"/>
          <w:color w:val="000000" w:themeColor="text1"/>
          <w:lang w:val="es-ES" w:eastAsia="es-ES"/>
        </w:rPr>
        <w:t xml:space="preserve">. </w:t>
      </w:r>
      <w:r>
        <w:rPr>
          <w:rFonts w:ascii="Arial" w:hAnsi="Arial" w:cs="Arial"/>
          <w:color w:val="000000" w:themeColor="text1"/>
          <w:lang w:val="es-ES" w:eastAsia="es-ES"/>
        </w:rPr>
        <w:t>Las presentes Reglas de Operación serán publicadas en el Periódico Oficial del Estado.</w:t>
      </w:r>
    </w:p>
    <w:p w:rsidR="00E14CA6" w:rsidRDefault="00E14CA6" w:rsidP="00E14CA6">
      <w:pPr>
        <w:spacing w:line="276" w:lineRule="auto"/>
        <w:contextualSpacing/>
        <w:rPr>
          <w:rFonts w:ascii="Arial" w:hAnsi="Arial" w:cs="Arial"/>
          <w:color w:val="000000" w:themeColor="text1"/>
          <w:lang w:val="es-ES" w:eastAsia="es-ES"/>
        </w:rPr>
      </w:pPr>
    </w:p>
    <w:p w:rsidR="00E14CA6" w:rsidRPr="00347C13" w:rsidRDefault="00E14CA6" w:rsidP="00347C13">
      <w:pPr>
        <w:spacing w:line="276" w:lineRule="auto"/>
        <w:contextualSpacing/>
        <w:jc w:val="both"/>
        <w:rPr>
          <w:rFonts w:ascii="Arial" w:hAnsi="Arial" w:cs="Arial"/>
          <w:color w:val="000000" w:themeColor="text1"/>
          <w:lang w:eastAsia="es-ES"/>
        </w:rPr>
      </w:pPr>
      <w:r w:rsidRPr="00297019">
        <w:rPr>
          <w:rFonts w:ascii="Arial" w:hAnsi="Arial" w:cs="Arial"/>
          <w:b/>
          <w:color w:val="000000" w:themeColor="text1"/>
          <w:lang w:val="es-ES" w:eastAsia="es-ES"/>
        </w:rPr>
        <w:t xml:space="preserve">Segundo. </w:t>
      </w:r>
      <w:r w:rsidRPr="006E580F">
        <w:rPr>
          <w:rFonts w:ascii="Arial" w:hAnsi="Arial" w:cs="Arial"/>
          <w:color w:val="000000" w:themeColor="text1"/>
          <w:lang w:val="es-ES" w:eastAsia="es-ES"/>
        </w:rPr>
        <w:t>L</w:t>
      </w:r>
      <w:r>
        <w:rPr>
          <w:rFonts w:ascii="Arial" w:hAnsi="Arial" w:cs="Arial"/>
          <w:color w:val="000000" w:themeColor="text1"/>
          <w:lang w:val="es-ES" w:eastAsia="es-ES"/>
        </w:rPr>
        <w:t>a</w:t>
      </w:r>
      <w:r w:rsidRPr="006E580F">
        <w:rPr>
          <w:rFonts w:ascii="Arial" w:hAnsi="Arial" w:cs="Arial"/>
          <w:color w:val="000000" w:themeColor="text1"/>
          <w:lang w:val="es-ES" w:eastAsia="es-ES"/>
        </w:rPr>
        <w:t xml:space="preserve">s presentes </w:t>
      </w:r>
      <w:r>
        <w:rPr>
          <w:rFonts w:ascii="Arial" w:hAnsi="Arial" w:cs="Arial"/>
          <w:color w:val="000000" w:themeColor="text1"/>
          <w:lang w:val="es-ES" w:eastAsia="es-ES"/>
        </w:rPr>
        <w:t>Reglas de Operación</w:t>
      </w:r>
      <w:r w:rsidRPr="006E580F">
        <w:rPr>
          <w:rFonts w:ascii="Arial" w:hAnsi="Arial" w:cs="Arial"/>
          <w:color w:val="000000" w:themeColor="text1"/>
          <w:lang w:val="es-ES" w:eastAsia="es-ES"/>
        </w:rPr>
        <w:t xml:space="preserve"> entrarán en vigor al día siguiente de su publicación en el Periódico Oficial del Estado</w:t>
      </w:r>
      <w:r>
        <w:rPr>
          <w:rFonts w:ascii="Arial" w:hAnsi="Arial" w:cs="Arial"/>
          <w:color w:val="000000" w:themeColor="text1"/>
          <w:lang w:val="es-ES" w:eastAsia="es-ES"/>
        </w:rPr>
        <w:t xml:space="preserve"> </w:t>
      </w:r>
      <w:r w:rsidRPr="00E14CA6">
        <w:rPr>
          <w:rFonts w:ascii="Arial" w:eastAsia="Calibri" w:hAnsi="Arial" w:cs="Arial"/>
          <w:bCs/>
        </w:rPr>
        <w:t>y serán de observancia obligatoria para las Dependencias, Entidades, Municipios u Organismos Públicos Descentralizados que tengan interés en acceder a recursos públicos provenientes de</w:t>
      </w:r>
      <w:r w:rsidR="00347C13">
        <w:rPr>
          <w:rFonts w:ascii="Arial" w:eastAsia="Calibri" w:hAnsi="Arial" w:cs="Arial"/>
          <w:bCs/>
        </w:rPr>
        <w:t xml:space="preserve"> </w:t>
      </w:r>
      <w:r w:rsidRPr="00E14CA6">
        <w:rPr>
          <w:rFonts w:ascii="Arial" w:eastAsia="Calibri" w:hAnsi="Arial" w:cs="Arial"/>
          <w:bCs/>
        </w:rPr>
        <w:t>l</w:t>
      </w:r>
      <w:r w:rsidR="00347C13">
        <w:rPr>
          <w:rFonts w:ascii="Arial" w:eastAsia="Calibri" w:hAnsi="Arial" w:cs="Arial"/>
          <w:bCs/>
        </w:rPr>
        <w:t>a</w:t>
      </w:r>
      <w:r w:rsidRPr="00E14CA6">
        <w:rPr>
          <w:rFonts w:ascii="Arial" w:eastAsia="Calibri" w:hAnsi="Arial" w:cs="Arial"/>
          <w:bCs/>
        </w:rPr>
        <w:t xml:space="preserve"> </w:t>
      </w:r>
      <w:r w:rsidR="00347C13">
        <w:rPr>
          <w:rFonts w:ascii="Arial" w:eastAsia="Calibri" w:hAnsi="Arial" w:cs="Arial"/>
          <w:bCs/>
        </w:rPr>
        <w:t>Bolsa</w:t>
      </w:r>
      <w:r w:rsidRPr="00E14CA6">
        <w:rPr>
          <w:rFonts w:ascii="Arial" w:eastAsia="Calibri" w:hAnsi="Arial" w:cs="Arial"/>
          <w:bCs/>
        </w:rPr>
        <w:t xml:space="preserve"> para el Fortalecimiento al Campo e Infraestructura Social </w:t>
      </w:r>
      <w:r w:rsidR="00347C13">
        <w:rPr>
          <w:rFonts w:ascii="Arial" w:eastAsia="Calibri" w:hAnsi="Arial" w:cs="Arial"/>
          <w:bCs/>
        </w:rPr>
        <w:t xml:space="preserve">creado en el Decreto </w:t>
      </w:r>
      <w:r w:rsidRPr="00E14CA6">
        <w:rPr>
          <w:rFonts w:ascii="Arial" w:eastAsia="Calibri" w:hAnsi="Arial" w:cs="Arial"/>
          <w:bCs/>
        </w:rPr>
        <w:t xml:space="preserve">del </w:t>
      </w:r>
      <w:r w:rsidR="00347C13">
        <w:rPr>
          <w:rFonts w:ascii="Arial" w:eastAsia="Calibri" w:hAnsi="Arial" w:cs="Arial"/>
          <w:bCs/>
        </w:rPr>
        <w:t>Pr</w:t>
      </w:r>
      <w:r w:rsidRPr="00E14CA6">
        <w:rPr>
          <w:rFonts w:ascii="Arial" w:eastAsia="Calibri" w:hAnsi="Arial" w:cs="Arial"/>
          <w:bCs/>
        </w:rPr>
        <w:t>e</w:t>
      </w:r>
      <w:r w:rsidR="00347C13">
        <w:rPr>
          <w:rFonts w:ascii="Arial" w:eastAsia="Calibri" w:hAnsi="Arial" w:cs="Arial"/>
          <w:bCs/>
        </w:rPr>
        <w:t>supuesto de Egresos del Estado para el e</w:t>
      </w:r>
      <w:r w:rsidRPr="00E14CA6">
        <w:rPr>
          <w:rFonts w:ascii="Arial" w:eastAsia="Calibri" w:hAnsi="Arial" w:cs="Arial"/>
          <w:bCs/>
        </w:rPr>
        <w:t>jercicio fiscal 2019.</w:t>
      </w:r>
    </w:p>
    <w:p w:rsidR="00E14CA6" w:rsidRDefault="00E14CA6" w:rsidP="00E14CA6">
      <w:pPr>
        <w:spacing w:line="276" w:lineRule="auto"/>
        <w:contextualSpacing/>
        <w:rPr>
          <w:rFonts w:ascii="Arial" w:hAnsi="Arial" w:cs="Arial"/>
          <w:lang w:val="es-ES" w:eastAsia="es-ES"/>
        </w:rPr>
      </w:pPr>
    </w:p>
    <w:p w:rsidR="00AC6E06" w:rsidRPr="006E580F" w:rsidRDefault="00AC6E06" w:rsidP="00E14CA6">
      <w:pPr>
        <w:spacing w:line="276" w:lineRule="auto"/>
        <w:contextualSpacing/>
        <w:rPr>
          <w:rFonts w:ascii="Arial" w:hAnsi="Arial" w:cs="Arial"/>
          <w:lang w:val="es-ES" w:eastAsia="es-ES"/>
        </w:rPr>
      </w:pPr>
    </w:p>
    <w:p w:rsidR="00E14CA6" w:rsidRPr="006E580F" w:rsidRDefault="00E14CA6" w:rsidP="00AC6E06">
      <w:pPr>
        <w:spacing w:after="0" w:line="240" w:lineRule="auto"/>
        <w:jc w:val="center"/>
        <w:rPr>
          <w:rFonts w:ascii="Arial" w:hAnsi="Arial" w:cs="Arial"/>
          <w:b/>
        </w:rPr>
      </w:pPr>
      <w:r w:rsidRPr="006E580F">
        <w:rPr>
          <w:rFonts w:ascii="Arial" w:hAnsi="Arial" w:cs="Arial"/>
          <w:b/>
        </w:rPr>
        <w:t>ATENTAMENTE</w:t>
      </w:r>
    </w:p>
    <w:p w:rsidR="00E14CA6" w:rsidRPr="006E580F" w:rsidRDefault="00E14CA6" w:rsidP="00AC6E06">
      <w:pPr>
        <w:spacing w:after="0" w:line="240" w:lineRule="auto"/>
        <w:jc w:val="center"/>
        <w:rPr>
          <w:rFonts w:ascii="Arial" w:hAnsi="Arial" w:cs="Arial"/>
          <w:b/>
        </w:rPr>
      </w:pPr>
      <w:r w:rsidRPr="006E580F">
        <w:rPr>
          <w:rFonts w:ascii="Arial" w:hAnsi="Arial" w:cs="Arial"/>
          <w:b/>
        </w:rPr>
        <w:t>“EL RESPETO AL DERECHO AJENO ES LA PAZ”</w:t>
      </w:r>
    </w:p>
    <w:p w:rsidR="00E14CA6" w:rsidRPr="006E580F" w:rsidRDefault="00E14CA6" w:rsidP="00AC6E06">
      <w:pPr>
        <w:spacing w:after="0" w:line="240" w:lineRule="auto"/>
        <w:jc w:val="center"/>
        <w:rPr>
          <w:rFonts w:ascii="Arial" w:hAnsi="Arial" w:cs="Arial"/>
          <w:b/>
        </w:rPr>
      </w:pPr>
      <w:r>
        <w:rPr>
          <w:rFonts w:ascii="Arial" w:hAnsi="Arial" w:cs="Arial"/>
          <w:b/>
        </w:rPr>
        <w:t xml:space="preserve">EL </w:t>
      </w:r>
      <w:r w:rsidRPr="006E580F">
        <w:rPr>
          <w:rFonts w:ascii="Arial" w:hAnsi="Arial" w:cs="Arial"/>
          <w:b/>
        </w:rPr>
        <w:t>SECRETARIO DE FINANZAS</w:t>
      </w:r>
    </w:p>
    <w:p w:rsidR="00E14CA6" w:rsidRPr="006E580F" w:rsidRDefault="00E14CA6" w:rsidP="00E14CA6">
      <w:pPr>
        <w:spacing w:line="240" w:lineRule="auto"/>
        <w:jc w:val="center"/>
        <w:rPr>
          <w:rFonts w:ascii="Arial" w:hAnsi="Arial" w:cs="Arial"/>
          <w:b/>
        </w:rPr>
      </w:pPr>
    </w:p>
    <w:p w:rsidR="00E14CA6" w:rsidRPr="006E580F" w:rsidRDefault="00E14CA6" w:rsidP="00E14CA6">
      <w:pPr>
        <w:spacing w:line="240" w:lineRule="auto"/>
        <w:jc w:val="center"/>
        <w:rPr>
          <w:rFonts w:ascii="Arial" w:hAnsi="Arial" w:cs="Arial"/>
          <w:b/>
        </w:rPr>
      </w:pPr>
    </w:p>
    <w:p w:rsidR="00E14CA6" w:rsidRPr="006E580F" w:rsidRDefault="00E14CA6" w:rsidP="00E14CA6">
      <w:pPr>
        <w:spacing w:line="240" w:lineRule="auto"/>
        <w:jc w:val="center"/>
        <w:rPr>
          <w:rFonts w:ascii="Arial" w:hAnsi="Arial" w:cs="Arial"/>
          <w:b/>
        </w:rPr>
      </w:pPr>
    </w:p>
    <w:p w:rsidR="00E14CA6" w:rsidRPr="006E580F" w:rsidRDefault="00E14CA6" w:rsidP="00E14CA6">
      <w:pPr>
        <w:spacing w:line="240" w:lineRule="auto"/>
        <w:jc w:val="center"/>
        <w:rPr>
          <w:rFonts w:ascii="Arial" w:hAnsi="Arial" w:cs="Arial"/>
          <w:b/>
        </w:rPr>
      </w:pPr>
      <w:r w:rsidRPr="006E580F">
        <w:rPr>
          <w:rFonts w:ascii="Arial" w:hAnsi="Arial" w:cs="Arial"/>
          <w:b/>
        </w:rPr>
        <w:t>MTRO. VICENTE MENDOZA TELLEZ GIRÓN</w:t>
      </w:r>
    </w:p>
    <w:p w:rsidR="00E14CA6" w:rsidRPr="006E580F" w:rsidRDefault="00E14CA6" w:rsidP="00E14CA6">
      <w:pPr>
        <w:spacing w:line="240" w:lineRule="auto"/>
        <w:jc w:val="center"/>
        <w:rPr>
          <w:rFonts w:ascii="Arial" w:hAnsi="Arial" w:cs="Arial"/>
          <w:b/>
        </w:rPr>
      </w:pPr>
    </w:p>
    <w:p w:rsidR="00E14CA6" w:rsidRPr="00BA045E" w:rsidRDefault="00E14CA6" w:rsidP="00E14CA6">
      <w:pPr>
        <w:spacing w:line="240" w:lineRule="auto"/>
        <w:jc w:val="center"/>
        <w:rPr>
          <w:rFonts w:ascii="Arial" w:hAnsi="Arial" w:cs="Arial"/>
          <w:color w:val="000000" w:themeColor="text1"/>
        </w:rPr>
      </w:pPr>
      <w:r w:rsidRPr="00BA045E">
        <w:rPr>
          <w:rFonts w:ascii="Arial" w:hAnsi="Arial" w:cs="Arial"/>
          <w:color w:val="000000" w:themeColor="text1"/>
        </w:rPr>
        <w:t xml:space="preserve">Dado en Reyes Mantecón, San Bartolo Coyotepec, Oaxaca, </w:t>
      </w:r>
      <w:r w:rsidR="00E25A5A" w:rsidRPr="00BA045E">
        <w:rPr>
          <w:rFonts w:ascii="Arial" w:hAnsi="Arial" w:cs="Arial"/>
          <w:color w:val="000000" w:themeColor="text1"/>
        </w:rPr>
        <w:t>2</w:t>
      </w:r>
      <w:r w:rsidRPr="00BA045E">
        <w:rPr>
          <w:rFonts w:ascii="Arial" w:hAnsi="Arial" w:cs="Arial"/>
          <w:color w:val="000000" w:themeColor="text1"/>
        </w:rPr>
        <w:t xml:space="preserve"> de abril del 2019.</w:t>
      </w:r>
    </w:p>
    <w:p w:rsidR="00E14CA6" w:rsidRPr="006E580F" w:rsidRDefault="00E14CA6" w:rsidP="00E14CA6">
      <w:pPr>
        <w:spacing w:after="101" w:line="240" w:lineRule="auto"/>
        <w:contextualSpacing/>
        <w:rPr>
          <w:rFonts w:ascii="Arial" w:hAnsi="Arial" w:cs="Arial"/>
          <w:sz w:val="24"/>
          <w:szCs w:val="24"/>
          <w:lang w:eastAsia="es-ES"/>
        </w:rPr>
      </w:pPr>
    </w:p>
    <w:p w:rsidR="00E14CA6" w:rsidRPr="00E14CA6" w:rsidRDefault="00E14CA6" w:rsidP="00E14CA6">
      <w:pPr>
        <w:rPr>
          <w:rFonts w:ascii="Arial" w:eastAsia="Calibri" w:hAnsi="Arial" w:cs="Arial"/>
          <w:bCs/>
        </w:rPr>
      </w:pPr>
    </w:p>
    <w:sectPr w:rsidR="00E14CA6" w:rsidRPr="00E14CA6" w:rsidSect="005A7EC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236" w:rsidRDefault="005F3236" w:rsidP="00E14CA6">
      <w:pPr>
        <w:spacing w:after="0" w:line="240" w:lineRule="auto"/>
      </w:pPr>
      <w:r>
        <w:separator/>
      </w:r>
    </w:p>
  </w:endnote>
  <w:endnote w:type="continuationSeparator" w:id="0">
    <w:p w:rsidR="005F3236" w:rsidRDefault="005F3236" w:rsidP="00E14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236" w:rsidRDefault="005F3236" w:rsidP="00E14CA6">
      <w:pPr>
        <w:spacing w:after="0" w:line="240" w:lineRule="auto"/>
      </w:pPr>
      <w:r>
        <w:separator/>
      </w:r>
    </w:p>
  </w:footnote>
  <w:footnote w:type="continuationSeparator" w:id="0">
    <w:p w:rsidR="005F3236" w:rsidRDefault="005F3236" w:rsidP="00E14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1303"/>
      <w:gridCol w:w="3822"/>
      <w:gridCol w:w="3853"/>
    </w:tblGrid>
    <w:tr w:rsidR="00E14CA6" w:rsidRPr="007F2597" w:rsidTr="003B202C">
      <w:trPr>
        <w:cantSplit/>
        <w:trHeight w:val="333"/>
      </w:trPr>
      <w:tc>
        <w:tcPr>
          <w:tcW w:w="1303" w:type="dxa"/>
          <w:vMerge w:val="restart"/>
          <w:vAlign w:val="center"/>
        </w:tcPr>
        <w:p w:rsidR="00E14CA6" w:rsidRPr="00AF5EA8" w:rsidRDefault="00E14CA6" w:rsidP="00E14CA6">
          <w:pPr>
            <w:tabs>
              <w:tab w:val="center" w:pos="4252"/>
              <w:tab w:val="right" w:pos="8504"/>
            </w:tabs>
            <w:rPr>
              <w:rFonts w:ascii="CG Omega" w:hAnsi="CG Omega"/>
              <w:sz w:val="16"/>
            </w:rPr>
          </w:pPr>
        </w:p>
      </w:tc>
      <w:tc>
        <w:tcPr>
          <w:tcW w:w="7675" w:type="dxa"/>
          <w:gridSpan w:val="2"/>
          <w:tcBorders>
            <w:bottom w:val="double" w:sz="4" w:space="0" w:color="auto"/>
          </w:tcBorders>
          <w:vAlign w:val="bottom"/>
        </w:tcPr>
        <w:p w:rsidR="00E14CA6" w:rsidRPr="007F2597" w:rsidRDefault="00E14CA6" w:rsidP="002635E4">
          <w:pPr>
            <w:tabs>
              <w:tab w:val="left" w:pos="1134"/>
            </w:tabs>
            <w:spacing w:line="240" w:lineRule="auto"/>
            <w:contextualSpacing/>
            <w:jc w:val="right"/>
            <w:rPr>
              <w:rFonts w:ascii="Arial" w:hAnsi="Arial" w:cs="Arial"/>
              <w:b/>
              <w:sz w:val="12"/>
              <w:szCs w:val="12"/>
              <w:lang w:val="es-ES" w:eastAsia="es-ES"/>
            </w:rPr>
          </w:pPr>
          <w:r>
            <w:rPr>
              <w:rFonts w:ascii="Arial" w:hAnsi="Arial" w:cs="Arial"/>
              <w:b/>
              <w:sz w:val="12"/>
              <w:szCs w:val="12"/>
              <w:lang w:val="es-ES" w:eastAsia="es-ES"/>
            </w:rPr>
            <w:t>REGLAS DE OPERACIÓN DE</w:t>
          </w:r>
          <w:r w:rsidR="002635E4">
            <w:rPr>
              <w:rFonts w:ascii="Arial" w:hAnsi="Arial" w:cs="Arial"/>
              <w:b/>
              <w:sz w:val="12"/>
              <w:szCs w:val="12"/>
              <w:lang w:val="es-ES" w:eastAsia="es-ES"/>
            </w:rPr>
            <w:t xml:space="preserve"> </w:t>
          </w:r>
          <w:r>
            <w:rPr>
              <w:rFonts w:ascii="Arial" w:hAnsi="Arial" w:cs="Arial"/>
              <w:b/>
              <w:sz w:val="12"/>
              <w:szCs w:val="12"/>
              <w:lang w:val="es-ES" w:eastAsia="es-ES"/>
            </w:rPr>
            <w:t>L</w:t>
          </w:r>
          <w:r w:rsidR="002635E4">
            <w:rPr>
              <w:rFonts w:ascii="Arial" w:hAnsi="Arial" w:cs="Arial"/>
              <w:b/>
              <w:sz w:val="12"/>
              <w:szCs w:val="12"/>
              <w:lang w:val="es-ES" w:eastAsia="es-ES"/>
            </w:rPr>
            <w:t xml:space="preserve">A BOLSA </w:t>
          </w:r>
          <w:r>
            <w:rPr>
              <w:rFonts w:ascii="Arial" w:hAnsi="Arial" w:cs="Arial"/>
              <w:b/>
              <w:sz w:val="12"/>
              <w:szCs w:val="12"/>
              <w:lang w:val="es-ES" w:eastAsia="es-ES"/>
            </w:rPr>
            <w:t xml:space="preserve"> PARA EL FORTALECIMIENTO AL CAMPO E INFRAESTRUCTURA SOCIAL</w:t>
          </w:r>
          <w:r w:rsidRPr="007F2597">
            <w:rPr>
              <w:rFonts w:ascii="Arial" w:hAnsi="Arial" w:cs="Arial"/>
              <w:b/>
              <w:sz w:val="12"/>
              <w:szCs w:val="12"/>
              <w:lang w:val="es-ES" w:eastAsia="es-ES"/>
            </w:rPr>
            <w:t>.</w:t>
          </w:r>
        </w:p>
      </w:tc>
    </w:tr>
    <w:tr w:rsidR="00E14CA6" w:rsidRPr="00AF5EA8" w:rsidTr="003B202C">
      <w:trPr>
        <w:cantSplit/>
        <w:trHeight w:val="295"/>
      </w:trPr>
      <w:tc>
        <w:tcPr>
          <w:tcW w:w="1303" w:type="dxa"/>
          <w:vMerge/>
        </w:tcPr>
        <w:p w:rsidR="00E14CA6" w:rsidRPr="00AF5EA8" w:rsidRDefault="00E14CA6" w:rsidP="00E14CA6">
          <w:pPr>
            <w:tabs>
              <w:tab w:val="center" w:pos="4252"/>
              <w:tab w:val="right" w:pos="8504"/>
            </w:tabs>
            <w:rPr>
              <w:rFonts w:ascii="CG Omega" w:hAnsi="CG Omega"/>
              <w:sz w:val="16"/>
            </w:rPr>
          </w:pPr>
        </w:p>
      </w:tc>
      <w:tc>
        <w:tcPr>
          <w:tcW w:w="3822" w:type="dxa"/>
        </w:tcPr>
        <w:p w:rsidR="00E14CA6" w:rsidRPr="00AF5EA8" w:rsidRDefault="00E14CA6" w:rsidP="00E14CA6">
          <w:pPr>
            <w:tabs>
              <w:tab w:val="center" w:pos="4252"/>
              <w:tab w:val="right" w:pos="8504"/>
            </w:tabs>
            <w:ind w:left="-70"/>
            <w:rPr>
              <w:rFonts w:ascii="Arial Narrow" w:hAnsi="Arial Narrow" w:cs="Arial"/>
              <w:sz w:val="4"/>
            </w:rPr>
          </w:pPr>
        </w:p>
      </w:tc>
      <w:tc>
        <w:tcPr>
          <w:tcW w:w="3853" w:type="dxa"/>
        </w:tcPr>
        <w:p w:rsidR="00E14CA6" w:rsidRPr="00AF5EA8" w:rsidRDefault="00E14CA6" w:rsidP="00E14CA6">
          <w:pPr>
            <w:tabs>
              <w:tab w:val="center" w:pos="4252"/>
              <w:tab w:val="right" w:pos="8504"/>
            </w:tabs>
            <w:spacing w:line="240" w:lineRule="auto"/>
            <w:ind w:left="-68"/>
            <w:jc w:val="right"/>
            <w:rPr>
              <w:rFonts w:ascii="Arial" w:hAnsi="Arial" w:cs="Arial"/>
              <w:i/>
              <w:iCs/>
              <w:color w:val="181818"/>
              <w:sz w:val="14"/>
            </w:rPr>
          </w:pPr>
        </w:p>
      </w:tc>
    </w:tr>
  </w:tbl>
  <w:p w:rsidR="00E14CA6" w:rsidRDefault="00E14CA6">
    <w:pPr>
      <w:pStyle w:val="Encabezado"/>
    </w:pPr>
    <w:r>
      <w:rPr>
        <w:noProof/>
        <w:lang w:eastAsia="es-MX"/>
      </w:rPr>
      <w:drawing>
        <wp:anchor distT="0" distB="0" distL="114300" distR="114300" simplePos="0" relativeHeight="251659264" behindDoc="1" locked="0" layoutInCell="1" allowOverlap="1" wp14:anchorId="6FAA4A5D" wp14:editId="72F3C3F9">
          <wp:simplePos x="0" y="0"/>
          <wp:positionH relativeFrom="column">
            <wp:posOffset>44450</wp:posOffset>
          </wp:positionH>
          <wp:positionV relativeFrom="paragraph">
            <wp:posOffset>-672176</wp:posOffset>
          </wp:positionV>
          <wp:extent cx="675005" cy="669925"/>
          <wp:effectExtent l="0" t="0" r="0" b="3175"/>
          <wp:wrapNone/>
          <wp:docPr id="9" name="Imagen 9"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699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677BD"/>
    <w:multiLevelType w:val="hybridMultilevel"/>
    <w:tmpl w:val="AB7EB640"/>
    <w:lvl w:ilvl="0" w:tplc="040A0017">
      <w:start w:val="1"/>
      <w:numFmt w:val="lowerLetter"/>
      <w:lvlText w:val="%1)"/>
      <w:lvlJc w:val="left"/>
      <w:pPr>
        <w:ind w:left="786" w:hanging="360"/>
      </w:pPr>
    </w:lvl>
    <w:lvl w:ilvl="1" w:tplc="080A0019" w:tentative="1">
      <w:start w:val="1"/>
      <w:numFmt w:val="lowerLetter"/>
      <w:lvlText w:val="%2."/>
      <w:lvlJc w:val="left"/>
      <w:pPr>
        <w:ind w:left="317" w:hanging="360"/>
      </w:pPr>
    </w:lvl>
    <w:lvl w:ilvl="2" w:tplc="080A001B" w:tentative="1">
      <w:start w:val="1"/>
      <w:numFmt w:val="lowerRoman"/>
      <w:lvlText w:val="%3."/>
      <w:lvlJc w:val="right"/>
      <w:pPr>
        <w:ind w:left="1037" w:hanging="180"/>
      </w:pPr>
    </w:lvl>
    <w:lvl w:ilvl="3" w:tplc="080A000F" w:tentative="1">
      <w:start w:val="1"/>
      <w:numFmt w:val="decimal"/>
      <w:lvlText w:val="%4."/>
      <w:lvlJc w:val="left"/>
      <w:pPr>
        <w:ind w:left="1757" w:hanging="360"/>
      </w:pPr>
    </w:lvl>
    <w:lvl w:ilvl="4" w:tplc="080A0019" w:tentative="1">
      <w:start w:val="1"/>
      <w:numFmt w:val="lowerLetter"/>
      <w:lvlText w:val="%5."/>
      <w:lvlJc w:val="left"/>
      <w:pPr>
        <w:ind w:left="2477" w:hanging="360"/>
      </w:pPr>
    </w:lvl>
    <w:lvl w:ilvl="5" w:tplc="080A001B" w:tentative="1">
      <w:start w:val="1"/>
      <w:numFmt w:val="lowerRoman"/>
      <w:lvlText w:val="%6."/>
      <w:lvlJc w:val="right"/>
      <w:pPr>
        <w:ind w:left="3197" w:hanging="180"/>
      </w:pPr>
    </w:lvl>
    <w:lvl w:ilvl="6" w:tplc="080A000F" w:tentative="1">
      <w:start w:val="1"/>
      <w:numFmt w:val="decimal"/>
      <w:lvlText w:val="%7."/>
      <w:lvlJc w:val="left"/>
      <w:pPr>
        <w:ind w:left="3917" w:hanging="360"/>
      </w:pPr>
    </w:lvl>
    <w:lvl w:ilvl="7" w:tplc="080A0019" w:tentative="1">
      <w:start w:val="1"/>
      <w:numFmt w:val="lowerLetter"/>
      <w:lvlText w:val="%8."/>
      <w:lvlJc w:val="left"/>
      <w:pPr>
        <w:ind w:left="4637" w:hanging="360"/>
      </w:pPr>
    </w:lvl>
    <w:lvl w:ilvl="8" w:tplc="080A001B" w:tentative="1">
      <w:start w:val="1"/>
      <w:numFmt w:val="lowerRoman"/>
      <w:lvlText w:val="%9."/>
      <w:lvlJc w:val="right"/>
      <w:pPr>
        <w:ind w:left="5357" w:hanging="180"/>
      </w:pPr>
    </w:lvl>
  </w:abstractNum>
  <w:abstractNum w:abstractNumId="1">
    <w:nsid w:val="4B506F8C"/>
    <w:multiLevelType w:val="hybridMultilevel"/>
    <w:tmpl w:val="32C6389C"/>
    <w:lvl w:ilvl="0" w:tplc="080A0015">
      <w:start w:val="1"/>
      <w:numFmt w:val="upp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2">
    <w:nsid w:val="7DE227AF"/>
    <w:multiLevelType w:val="hybridMultilevel"/>
    <w:tmpl w:val="5778EC4C"/>
    <w:lvl w:ilvl="0" w:tplc="080A0013">
      <w:start w:val="1"/>
      <w:numFmt w:val="upperRoman"/>
      <w:lvlText w:val="%1."/>
      <w:lvlJc w:val="right"/>
      <w:pPr>
        <w:ind w:left="786" w:hanging="360"/>
      </w:pPr>
    </w:lvl>
    <w:lvl w:ilvl="1" w:tplc="080A0019" w:tentative="1">
      <w:start w:val="1"/>
      <w:numFmt w:val="lowerLetter"/>
      <w:lvlText w:val="%2."/>
      <w:lvlJc w:val="left"/>
      <w:pPr>
        <w:ind w:left="317" w:hanging="360"/>
      </w:pPr>
    </w:lvl>
    <w:lvl w:ilvl="2" w:tplc="080A001B" w:tentative="1">
      <w:start w:val="1"/>
      <w:numFmt w:val="lowerRoman"/>
      <w:lvlText w:val="%3."/>
      <w:lvlJc w:val="right"/>
      <w:pPr>
        <w:ind w:left="1037" w:hanging="180"/>
      </w:pPr>
    </w:lvl>
    <w:lvl w:ilvl="3" w:tplc="080A000F" w:tentative="1">
      <w:start w:val="1"/>
      <w:numFmt w:val="decimal"/>
      <w:lvlText w:val="%4."/>
      <w:lvlJc w:val="left"/>
      <w:pPr>
        <w:ind w:left="1757" w:hanging="360"/>
      </w:pPr>
    </w:lvl>
    <w:lvl w:ilvl="4" w:tplc="080A0019" w:tentative="1">
      <w:start w:val="1"/>
      <w:numFmt w:val="lowerLetter"/>
      <w:lvlText w:val="%5."/>
      <w:lvlJc w:val="left"/>
      <w:pPr>
        <w:ind w:left="2477" w:hanging="360"/>
      </w:pPr>
    </w:lvl>
    <w:lvl w:ilvl="5" w:tplc="080A001B" w:tentative="1">
      <w:start w:val="1"/>
      <w:numFmt w:val="lowerRoman"/>
      <w:lvlText w:val="%6."/>
      <w:lvlJc w:val="right"/>
      <w:pPr>
        <w:ind w:left="3197" w:hanging="180"/>
      </w:pPr>
    </w:lvl>
    <w:lvl w:ilvl="6" w:tplc="080A000F" w:tentative="1">
      <w:start w:val="1"/>
      <w:numFmt w:val="decimal"/>
      <w:lvlText w:val="%7."/>
      <w:lvlJc w:val="left"/>
      <w:pPr>
        <w:ind w:left="3917" w:hanging="360"/>
      </w:pPr>
    </w:lvl>
    <w:lvl w:ilvl="7" w:tplc="080A0019" w:tentative="1">
      <w:start w:val="1"/>
      <w:numFmt w:val="lowerLetter"/>
      <w:lvlText w:val="%8."/>
      <w:lvlJc w:val="left"/>
      <w:pPr>
        <w:ind w:left="4637" w:hanging="360"/>
      </w:pPr>
    </w:lvl>
    <w:lvl w:ilvl="8" w:tplc="080A001B" w:tentative="1">
      <w:start w:val="1"/>
      <w:numFmt w:val="lowerRoman"/>
      <w:lvlText w:val="%9."/>
      <w:lvlJc w:val="right"/>
      <w:pPr>
        <w:ind w:left="5357" w:hanging="180"/>
      </w:pPr>
    </w:lvl>
  </w:abstractNum>
  <w:abstractNum w:abstractNumId="3">
    <w:nsid w:val="7E276A97"/>
    <w:multiLevelType w:val="hybridMultilevel"/>
    <w:tmpl w:val="6C36AD3A"/>
    <w:lvl w:ilvl="0" w:tplc="2020E91C">
      <w:start w:val="1"/>
      <w:numFmt w:val="decimal"/>
      <w:lvlText w:val="%1."/>
      <w:lvlJc w:val="left"/>
      <w:pPr>
        <w:ind w:left="720" w:hanging="360"/>
      </w:pPr>
      <w:rPr>
        <w:rFonts w:ascii="Arial" w:hAnsi="Arial" w:cs="Arial" w:hint="default"/>
        <w:b/>
        <w:color w:val="000000" w:themeColor="text1"/>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CA6"/>
    <w:rsid w:val="00000DDA"/>
    <w:rsid w:val="00002631"/>
    <w:rsid w:val="000D0056"/>
    <w:rsid w:val="000E3289"/>
    <w:rsid w:val="000E482B"/>
    <w:rsid w:val="000F4B4C"/>
    <w:rsid w:val="0012558D"/>
    <w:rsid w:val="00150D9A"/>
    <w:rsid w:val="0015492D"/>
    <w:rsid w:val="00171044"/>
    <w:rsid w:val="001F09F5"/>
    <w:rsid w:val="00245E5F"/>
    <w:rsid w:val="00256EE3"/>
    <w:rsid w:val="002635E4"/>
    <w:rsid w:val="002701E7"/>
    <w:rsid w:val="002809C5"/>
    <w:rsid w:val="002C3EDA"/>
    <w:rsid w:val="002C5870"/>
    <w:rsid w:val="00302593"/>
    <w:rsid w:val="00347C13"/>
    <w:rsid w:val="0035639D"/>
    <w:rsid w:val="00371A2C"/>
    <w:rsid w:val="0037492D"/>
    <w:rsid w:val="003A6A62"/>
    <w:rsid w:val="003C0168"/>
    <w:rsid w:val="003F42A3"/>
    <w:rsid w:val="00427D59"/>
    <w:rsid w:val="00486739"/>
    <w:rsid w:val="00492471"/>
    <w:rsid w:val="005058EA"/>
    <w:rsid w:val="005650B4"/>
    <w:rsid w:val="00576BFC"/>
    <w:rsid w:val="005A7EC5"/>
    <w:rsid w:val="005F3236"/>
    <w:rsid w:val="005F7D8D"/>
    <w:rsid w:val="0061216D"/>
    <w:rsid w:val="00631E70"/>
    <w:rsid w:val="00663ADA"/>
    <w:rsid w:val="00670130"/>
    <w:rsid w:val="006A7BBA"/>
    <w:rsid w:val="006C756A"/>
    <w:rsid w:val="006F2E08"/>
    <w:rsid w:val="00735968"/>
    <w:rsid w:val="00735EB0"/>
    <w:rsid w:val="007444FF"/>
    <w:rsid w:val="007779D1"/>
    <w:rsid w:val="00780C15"/>
    <w:rsid w:val="00784159"/>
    <w:rsid w:val="007845C7"/>
    <w:rsid w:val="007969F0"/>
    <w:rsid w:val="00797C70"/>
    <w:rsid w:val="007E2F2F"/>
    <w:rsid w:val="00803753"/>
    <w:rsid w:val="00823DF9"/>
    <w:rsid w:val="00864E6E"/>
    <w:rsid w:val="0087180F"/>
    <w:rsid w:val="00876B52"/>
    <w:rsid w:val="00880B60"/>
    <w:rsid w:val="00881A42"/>
    <w:rsid w:val="0089172D"/>
    <w:rsid w:val="008957DD"/>
    <w:rsid w:val="008A6B87"/>
    <w:rsid w:val="008C2617"/>
    <w:rsid w:val="008C713F"/>
    <w:rsid w:val="009A494A"/>
    <w:rsid w:val="009C1D0E"/>
    <w:rsid w:val="00A02A90"/>
    <w:rsid w:val="00A05E58"/>
    <w:rsid w:val="00A25804"/>
    <w:rsid w:val="00A55518"/>
    <w:rsid w:val="00AB26EB"/>
    <w:rsid w:val="00AC6E06"/>
    <w:rsid w:val="00AD280D"/>
    <w:rsid w:val="00AD77A1"/>
    <w:rsid w:val="00AD79CF"/>
    <w:rsid w:val="00B03918"/>
    <w:rsid w:val="00B40F5B"/>
    <w:rsid w:val="00B868BB"/>
    <w:rsid w:val="00B873A6"/>
    <w:rsid w:val="00B94F12"/>
    <w:rsid w:val="00BA045E"/>
    <w:rsid w:val="00BB513F"/>
    <w:rsid w:val="00C64EFE"/>
    <w:rsid w:val="00C83F00"/>
    <w:rsid w:val="00C9500D"/>
    <w:rsid w:val="00CA0402"/>
    <w:rsid w:val="00CB4A2E"/>
    <w:rsid w:val="00CC058A"/>
    <w:rsid w:val="00CC47BD"/>
    <w:rsid w:val="00CE62FA"/>
    <w:rsid w:val="00D04E45"/>
    <w:rsid w:val="00D051FA"/>
    <w:rsid w:val="00D13294"/>
    <w:rsid w:val="00D26276"/>
    <w:rsid w:val="00D300D5"/>
    <w:rsid w:val="00D744DC"/>
    <w:rsid w:val="00D929A4"/>
    <w:rsid w:val="00DA3358"/>
    <w:rsid w:val="00DA7B90"/>
    <w:rsid w:val="00DB5068"/>
    <w:rsid w:val="00E03496"/>
    <w:rsid w:val="00E14CA6"/>
    <w:rsid w:val="00E25A5A"/>
    <w:rsid w:val="00E704A7"/>
    <w:rsid w:val="00E72147"/>
    <w:rsid w:val="00E81AD2"/>
    <w:rsid w:val="00EA3DEB"/>
    <w:rsid w:val="00F36B06"/>
    <w:rsid w:val="00F854A5"/>
    <w:rsid w:val="00F9665B"/>
    <w:rsid w:val="00FD3AED"/>
    <w:rsid w:val="00FD5640"/>
    <w:rsid w:val="00FD7D8B"/>
    <w:rsid w:val="00FF49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CA6"/>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4CA6"/>
    <w:pPr>
      <w:spacing w:after="0" w:line="240" w:lineRule="auto"/>
      <w:ind w:left="708"/>
    </w:pPr>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unhideWhenUsed/>
    <w:rsid w:val="00E14CA6"/>
    <w:pPr>
      <w:spacing w:after="0" w:line="240" w:lineRule="auto"/>
    </w:pPr>
    <w:rPr>
      <w:sz w:val="20"/>
      <w:szCs w:val="20"/>
    </w:rPr>
  </w:style>
  <w:style w:type="character" w:customStyle="1" w:styleId="TextonotapieCar">
    <w:name w:val="Texto nota pie Car"/>
    <w:basedOn w:val="Fuentedeprrafopredeter"/>
    <w:link w:val="Textonotapie"/>
    <w:uiPriority w:val="99"/>
    <w:rsid w:val="00E14CA6"/>
    <w:rPr>
      <w:sz w:val="20"/>
      <w:szCs w:val="20"/>
    </w:rPr>
  </w:style>
  <w:style w:type="character" w:styleId="Refdenotaalpie">
    <w:name w:val="footnote reference"/>
    <w:basedOn w:val="Fuentedeprrafopredeter"/>
    <w:uiPriority w:val="99"/>
    <w:semiHidden/>
    <w:unhideWhenUsed/>
    <w:rsid w:val="00E14CA6"/>
    <w:rPr>
      <w:vertAlign w:val="superscript"/>
    </w:rPr>
  </w:style>
  <w:style w:type="paragraph" w:styleId="Encabezado">
    <w:name w:val="header"/>
    <w:basedOn w:val="Normal"/>
    <w:link w:val="EncabezadoCar"/>
    <w:uiPriority w:val="99"/>
    <w:unhideWhenUsed/>
    <w:rsid w:val="00E14C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4CA6"/>
    <w:rPr>
      <w:sz w:val="22"/>
      <w:szCs w:val="22"/>
    </w:rPr>
  </w:style>
  <w:style w:type="paragraph" w:styleId="Piedepgina">
    <w:name w:val="footer"/>
    <w:basedOn w:val="Normal"/>
    <w:link w:val="PiedepginaCar"/>
    <w:uiPriority w:val="99"/>
    <w:unhideWhenUsed/>
    <w:rsid w:val="00E14C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4CA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CA6"/>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4CA6"/>
    <w:pPr>
      <w:spacing w:after="0" w:line="240" w:lineRule="auto"/>
      <w:ind w:left="708"/>
    </w:pPr>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unhideWhenUsed/>
    <w:rsid w:val="00E14CA6"/>
    <w:pPr>
      <w:spacing w:after="0" w:line="240" w:lineRule="auto"/>
    </w:pPr>
    <w:rPr>
      <w:sz w:val="20"/>
      <w:szCs w:val="20"/>
    </w:rPr>
  </w:style>
  <w:style w:type="character" w:customStyle="1" w:styleId="TextonotapieCar">
    <w:name w:val="Texto nota pie Car"/>
    <w:basedOn w:val="Fuentedeprrafopredeter"/>
    <w:link w:val="Textonotapie"/>
    <w:uiPriority w:val="99"/>
    <w:rsid w:val="00E14CA6"/>
    <w:rPr>
      <w:sz w:val="20"/>
      <w:szCs w:val="20"/>
    </w:rPr>
  </w:style>
  <w:style w:type="character" w:styleId="Refdenotaalpie">
    <w:name w:val="footnote reference"/>
    <w:basedOn w:val="Fuentedeprrafopredeter"/>
    <w:uiPriority w:val="99"/>
    <w:semiHidden/>
    <w:unhideWhenUsed/>
    <w:rsid w:val="00E14CA6"/>
    <w:rPr>
      <w:vertAlign w:val="superscript"/>
    </w:rPr>
  </w:style>
  <w:style w:type="paragraph" w:styleId="Encabezado">
    <w:name w:val="header"/>
    <w:basedOn w:val="Normal"/>
    <w:link w:val="EncabezadoCar"/>
    <w:uiPriority w:val="99"/>
    <w:unhideWhenUsed/>
    <w:rsid w:val="00E14C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4CA6"/>
    <w:rPr>
      <w:sz w:val="22"/>
      <w:szCs w:val="22"/>
    </w:rPr>
  </w:style>
  <w:style w:type="paragraph" w:styleId="Piedepgina">
    <w:name w:val="footer"/>
    <w:basedOn w:val="Normal"/>
    <w:link w:val="PiedepginaCar"/>
    <w:uiPriority w:val="99"/>
    <w:unhideWhenUsed/>
    <w:rsid w:val="00E14C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4CA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1504</TotalTime>
  <Pages>8</Pages>
  <Words>2650</Words>
  <Characters>14581</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Jaque</cp:lastModifiedBy>
  <cp:revision>107</cp:revision>
  <dcterms:created xsi:type="dcterms:W3CDTF">2019-04-08T03:35:00Z</dcterms:created>
  <dcterms:modified xsi:type="dcterms:W3CDTF">2019-06-05T16:17:00Z</dcterms:modified>
</cp:coreProperties>
</file>